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4" w:right="-1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257421" cy="109727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7421" cy="109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  <w:spacing w:before="212" w:after="22"/>
        <w:ind w:left="4977"/>
      </w:pPr>
      <w:bookmarkStart w:name="AUSTRALIAN CUSTOMS AND BORDER PROTECTION" w:id="1"/>
      <w:bookmarkEnd w:id="1"/>
      <w:r>
        <w:rPr>
          <w:b w:val="0"/>
        </w:rPr>
      </w:r>
      <w:r>
        <w:rPr/>
        <w:t>AUSTRALIAN CUSTOMS AND BORDER PROTECTION NOTICE NO. 2011/62</w:t>
      </w:r>
    </w:p>
    <w:p>
      <w:pPr>
        <w:pStyle w:val="BodyText"/>
        <w:spacing w:line="20" w:lineRule="exact"/>
        <w:ind w:left="1492"/>
        <w:rPr>
          <w:sz w:val="2"/>
        </w:rPr>
      </w:pPr>
      <w:r>
        <w:rPr>
          <w:sz w:val="2"/>
        </w:rPr>
        <w:pict>
          <v:group style="width:428.05pt;height:.75pt;mso-position-horizontal-relative:char;mso-position-vertical-relative:line" coordorigin="0,0" coordsize="8561,15">
            <v:rect style="position:absolute;left:0;top:0;width:8561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</w:rPr>
      </w:pPr>
    </w:p>
    <w:p>
      <w:pPr>
        <w:pStyle w:val="Title"/>
        <w:spacing w:line="285" w:lineRule="auto"/>
        <w:ind w:right="2232" w:hanging="1628"/>
      </w:pPr>
      <w:bookmarkStart w:name="HS2012 PRODUCT-SPECIFIC RULES OF ORIGIN " w:id="2"/>
      <w:bookmarkEnd w:id="2"/>
      <w:r>
        <w:rPr>
          <w:b w:val="0"/>
        </w:rPr>
      </w:r>
      <w:bookmarkStart w:name="FREE TRADE AGREEMENTS" w:id="3"/>
      <w:bookmarkEnd w:id="3"/>
      <w:r>
        <w:rPr>
          <w:b w:val="0"/>
        </w:rPr>
      </w:r>
      <w:r>
        <w:rPr/>
        <w:t>HS2012 PRODUCT-SPECIFIC RULES OF ORIGIN FOR FREE TRADE AGREEMENTS</w:t>
      </w:r>
    </w:p>
    <w:p>
      <w:pPr>
        <w:spacing w:line="240" w:lineRule="auto" w:before="212"/>
        <w:ind w:left="1521" w:right="1569" w:firstLine="0"/>
        <w:jc w:val="left"/>
        <w:rPr>
          <w:sz w:val="24"/>
        </w:rPr>
      </w:pPr>
      <w:r>
        <w:rPr>
          <w:sz w:val="24"/>
        </w:rPr>
        <w:t>On 1 January 2012, some of the classifications in the </w:t>
      </w:r>
      <w:r>
        <w:rPr>
          <w:i/>
          <w:sz w:val="24"/>
        </w:rPr>
        <w:t>Customs Tariff Act 1995 </w:t>
      </w:r>
      <w:r>
        <w:rPr>
          <w:sz w:val="24"/>
        </w:rPr>
        <w:t>will change as a result of amendments to the Harmonized Commodity Description and Coding System (HS2012 changes). Detailed information regarding the changes is available in Australian Customs and Border Protection Notices 2011/12, 2011/20 and 2011/50 which are available on the Customs and Border Protection web page at </w:t>
      </w:r>
      <w:hyperlink r:id="rId6">
        <w:r>
          <w:rPr>
            <w:sz w:val="24"/>
          </w:rPr>
          <w:t>http://www.customs.gov.au/site/page4408.asp</w:t>
        </w:r>
      </w:hyperlink>
    </w:p>
    <w:p>
      <w:pPr>
        <w:pStyle w:val="BodyText"/>
        <w:spacing w:before="2"/>
        <w:rPr>
          <w:sz w:val="24"/>
        </w:rPr>
      </w:pPr>
    </w:p>
    <w:p>
      <w:pPr>
        <w:spacing w:before="1"/>
        <w:ind w:left="1521" w:right="2011" w:firstLine="0"/>
        <w:jc w:val="left"/>
        <w:rPr>
          <w:sz w:val="24"/>
        </w:rPr>
      </w:pPr>
      <w:r>
        <w:rPr>
          <w:sz w:val="24"/>
        </w:rPr>
        <w:t>These changes affect some of the Rules of Origin in the following free trade agreements (FTAs):</w:t>
      </w:r>
    </w:p>
    <w:p>
      <w:pPr>
        <w:pStyle w:val="ListParagraph"/>
        <w:numPr>
          <w:ilvl w:val="0"/>
          <w:numId w:val="1"/>
        </w:numPr>
        <w:tabs>
          <w:tab w:pos="2340" w:val="left" w:leader="none"/>
        </w:tabs>
        <w:spacing w:line="240" w:lineRule="auto" w:before="0" w:after="0"/>
        <w:ind w:left="2340" w:right="0" w:hanging="279"/>
        <w:jc w:val="left"/>
        <w:rPr>
          <w:sz w:val="24"/>
        </w:rPr>
      </w:pPr>
      <w:r>
        <w:rPr>
          <w:sz w:val="24"/>
        </w:rPr>
        <w:t>Australia-New Zealand Closer Economic Relations Trade</w:t>
      </w:r>
      <w:r>
        <w:rPr>
          <w:spacing w:val="-11"/>
          <w:sz w:val="24"/>
        </w:rPr>
        <w:t> </w:t>
      </w:r>
      <w:r>
        <w:rPr>
          <w:sz w:val="24"/>
        </w:rPr>
        <w:t>Agreement;</w:t>
      </w:r>
    </w:p>
    <w:p>
      <w:pPr>
        <w:pStyle w:val="ListParagraph"/>
        <w:numPr>
          <w:ilvl w:val="0"/>
          <w:numId w:val="1"/>
        </w:numPr>
        <w:tabs>
          <w:tab w:pos="2340" w:val="left" w:leader="none"/>
        </w:tabs>
        <w:spacing w:line="240" w:lineRule="auto" w:before="0" w:after="0"/>
        <w:ind w:left="2340" w:right="0" w:hanging="279"/>
        <w:jc w:val="left"/>
        <w:rPr>
          <w:sz w:val="24"/>
        </w:rPr>
      </w:pPr>
      <w:r>
        <w:rPr>
          <w:sz w:val="24"/>
        </w:rPr>
        <w:t>Singapore-Australia Free Trade</w:t>
      </w:r>
      <w:r>
        <w:rPr>
          <w:spacing w:val="-2"/>
          <w:sz w:val="24"/>
        </w:rPr>
        <w:t> </w:t>
      </w:r>
      <w:r>
        <w:rPr>
          <w:sz w:val="24"/>
        </w:rPr>
        <w:t>Agreement;</w:t>
      </w:r>
    </w:p>
    <w:p>
      <w:pPr>
        <w:pStyle w:val="ListParagraph"/>
        <w:numPr>
          <w:ilvl w:val="0"/>
          <w:numId w:val="1"/>
        </w:numPr>
        <w:tabs>
          <w:tab w:pos="2340" w:val="left" w:leader="none"/>
        </w:tabs>
        <w:spacing w:line="240" w:lineRule="auto" w:before="0" w:after="0"/>
        <w:ind w:left="2340" w:right="0" w:hanging="279"/>
        <w:jc w:val="left"/>
        <w:rPr>
          <w:sz w:val="24"/>
        </w:rPr>
      </w:pPr>
      <w:r>
        <w:rPr>
          <w:sz w:val="24"/>
        </w:rPr>
        <w:t>Australia-United States Free Trade</w:t>
      </w:r>
      <w:r>
        <w:rPr>
          <w:spacing w:val="-3"/>
          <w:sz w:val="24"/>
        </w:rPr>
        <w:t> </w:t>
      </w:r>
      <w:r>
        <w:rPr>
          <w:sz w:val="24"/>
        </w:rPr>
        <w:t>Agreement;</w:t>
      </w:r>
    </w:p>
    <w:p>
      <w:pPr>
        <w:pStyle w:val="ListParagraph"/>
        <w:numPr>
          <w:ilvl w:val="0"/>
          <w:numId w:val="1"/>
        </w:numPr>
        <w:tabs>
          <w:tab w:pos="2340" w:val="left" w:leader="none"/>
        </w:tabs>
        <w:spacing w:line="240" w:lineRule="auto" w:before="0" w:after="0"/>
        <w:ind w:left="2340" w:right="0" w:hanging="279"/>
        <w:jc w:val="left"/>
        <w:rPr>
          <w:sz w:val="24"/>
        </w:rPr>
      </w:pPr>
      <w:r>
        <w:rPr>
          <w:sz w:val="24"/>
        </w:rPr>
        <w:t>Thailand-Australia Free Trade Agreement</w:t>
      </w:r>
      <w:r>
        <w:rPr>
          <w:spacing w:val="-5"/>
          <w:sz w:val="24"/>
        </w:rPr>
        <w:t> </w:t>
      </w:r>
      <w:r>
        <w:rPr>
          <w:sz w:val="24"/>
        </w:rPr>
        <w:t>(TAFTA);</w:t>
      </w:r>
    </w:p>
    <w:p>
      <w:pPr>
        <w:pStyle w:val="ListParagraph"/>
        <w:numPr>
          <w:ilvl w:val="0"/>
          <w:numId w:val="1"/>
        </w:numPr>
        <w:tabs>
          <w:tab w:pos="2340" w:val="left" w:leader="none"/>
        </w:tabs>
        <w:spacing w:line="240" w:lineRule="auto" w:before="0" w:after="0"/>
        <w:ind w:left="2340" w:right="0" w:hanging="279"/>
        <w:jc w:val="left"/>
        <w:rPr>
          <w:sz w:val="24"/>
        </w:rPr>
      </w:pPr>
      <w:r>
        <w:rPr>
          <w:sz w:val="24"/>
        </w:rPr>
        <w:t>Australia-Chile Free Trade Agreement;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1"/>
        </w:numPr>
        <w:tabs>
          <w:tab w:pos="2340" w:val="left" w:leader="none"/>
        </w:tabs>
        <w:spacing w:line="240" w:lineRule="auto" w:before="0" w:after="0"/>
        <w:ind w:left="2340" w:right="0" w:hanging="279"/>
        <w:jc w:val="left"/>
        <w:rPr>
          <w:sz w:val="24"/>
        </w:rPr>
      </w:pPr>
      <w:r>
        <w:rPr>
          <w:sz w:val="24"/>
        </w:rPr>
        <w:t>ASEAN-Australia-New Zealand Free Trade</w:t>
      </w:r>
      <w:r>
        <w:rPr>
          <w:spacing w:val="-4"/>
          <w:sz w:val="24"/>
        </w:rPr>
        <w:t> </w:t>
      </w:r>
      <w:r>
        <w:rPr>
          <w:sz w:val="24"/>
        </w:rPr>
        <w:t>Agreement.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before="1"/>
        <w:ind w:left="1521" w:right="1732"/>
      </w:pPr>
      <w:r>
        <w:rPr/>
        <w:t>The Thailand-Australia Free Trade Agreement still employs Rules of Origin based on HS2002. Consequently, Australian Customs Notice 2006/66 remains unchanged and should be referred to for guidance if importers wish to claim preferential duty under TAFTA.</w:t>
      </w:r>
    </w:p>
    <w:p>
      <w:pPr>
        <w:pStyle w:val="BodyText"/>
      </w:pPr>
    </w:p>
    <w:p>
      <w:pPr>
        <w:pStyle w:val="BodyText"/>
        <w:ind w:left="1521" w:right="1693"/>
      </w:pPr>
      <w:r>
        <w:rPr/>
        <w:t>Australian officials and officials representing our FTA partners are currently discussing the finalization and implementation of the conversion to HS2012 of the product-specific rules of origin (PSRs) for the above FTAs. Further Customs Notices will be issued advising when the HS2012 PSR will be implemented for each of the FTAs.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ind w:left="1521" w:right="1618"/>
      </w:pPr>
      <w:r>
        <w:rPr/>
        <w:t>Pending further advice, Certificates of Origin (COO) and self-certification of origin for goods imported into Australia, where required under specific FTAs, may continue to be issued by the issuing bodies or the exporters/producers in the FTA partner countries under HS2007. In cases where the COO or the self-certification has been issued using HS2007, when completing the Customs Declaration for importing the goods into Australia the importer will need to ensure that the goods are classified using HS2012.</w:t>
      </w:r>
    </w:p>
    <w:p>
      <w:pPr>
        <w:spacing w:after="0"/>
        <w:sectPr>
          <w:type w:val="continuous"/>
          <w:pgSz w:w="11910" w:h="16840"/>
          <w:pgMar w:top="1120" w:bottom="280" w:left="180" w:right="160"/>
        </w:sectPr>
      </w:pPr>
    </w:p>
    <w:p>
      <w:pPr>
        <w:spacing w:before="67"/>
        <w:ind w:left="0" w:right="159" w:firstLine="0"/>
        <w:jc w:val="center"/>
        <w:rPr>
          <w:sz w:val="20"/>
        </w:rPr>
      </w:pPr>
      <w:r>
        <w:rPr>
          <w:w w:val="99"/>
          <w:sz w:val="20"/>
        </w:rPr>
        <w:t>2</w:t>
      </w:r>
    </w:p>
    <w:p>
      <w:pPr>
        <w:pStyle w:val="BodyText"/>
        <w:spacing w:before="1"/>
        <w:rPr>
          <w:sz w:val="29"/>
        </w:rPr>
      </w:pPr>
    </w:p>
    <w:p>
      <w:pPr>
        <w:pStyle w:val="BodyText"/>
        <w:spacing w:before="1"/>
        <w:ind w:left="1521" w:right="1719"/>
      </w:pPr>
      <w:r>
        <w:rPr/>
        <w:t>The Department of Foreign Affairs and Trade and Customs and Border Protection have developed the following guidance for traders to determine whether a good qualifies for a preferential rate of customs duty: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2599" w:val="left" w:leader="none"/>
          <w:tab w:pos="2600" w:val="left" w:leader="none"/>
        </w:tabs>
        <w:spacing w:line="240" w:lineRule="auto" w:before="0" w:after="0"/>
        <w:ind w:left="2599" w:right="1739" w:hanging="538"/>
        <w:jc w:val="left"/>
        <w:rPr>
          <w:sz w:val="23"/>
        </w:rPr>
      </w:pPr>
      <w:r>
        <w:rPr>
          <w:sz w:val="23"/>
        </w:rPr>
        <w:t>Refer to the tariff concordance</w:t>
      </w:r>
      <w:hyperlink w:history="true" w:anchor="_bookmark0">
        <w:r>
          <w:rPr>
            <w:position w:val="7"/>
            <w:sz w:val="15"/>
          </w:rPr>
          <w:t>1</w:t>
        </w:r>
      </w:hyperlink>
      <w:r>
        <w:rPr>
          <w:position w:val="7"/>
          <w:sz w:val="15"/>
        </w:rPr>
        <w:t> </w:t>
      </w:r>
      <w:r>
        <w:rPr>
          <w:sz w:val="23"/>
        </w:rPr>
        <w:t>to determine if the tariff classification of the goods to be imported has been changed under HS2012 in comparison with HS2007.</w:t>
      </w:r>
    </w:p>
    <w:p>
      <w:pPr>
        <w:pStyle w:val="ListParagraph"/>
        <w:numPr>
          <w:ilvl w:val="0"/>
          <w:numId w:val="2"/>
        </w:numPr>
        <w:tabs>
          <w:tab w:pos="2599" w:val="left" w:leader="none"/>
          <w:tab w:pos="2600" w:val="left" w:leader="none"/>
        </w:tabs>
        <w:spacing w:line="240" w:lineRule="auto" w:before="92" w:after="0"/>
        <w:ind w:left="2599" w:right="1858" w:hanging="538"/>
        <w:jc w:val="left"/>
        <w:rPr>
          <w:sz w:val="23"/>
        </w:rPr>
      </w:pPr>
      <w:r>
        <w:rPr>
          <w:sz w:val="23"/>
        </w:rPr>
        <w:t>If there is no change in classification resulting from the HS2012 changes, the current tariff classification should be used when entering the</w:t>
      </w:r>
      <w:r>
        <w:rPr>
          <w:spacing w:val="-2"/>
          <w:sz w:val="23"/>
        </w:rPr>
        <w:t> </w:t>
      </w:r>
      <w:r>
        <w:rPr>
          <w:sz w:val="23"/>
        </w:rPr>
        <w:t>goods.</w:t>
      </w:r>
    </w:p>
    <w:p>
      <w:pPr>
        <w:pStyle w:val="ListParagraph"/>
        <w:numPr>
          <w:ilvl w:val="0"/>
          <w:numId w:val="2"/>
        </w:numPr>
        <w:tabs>
          <w:tab w:pos="2599" w:val="left" w:leader="none"/>
          <w:tab w:pos="2600" w:val="left" w:leader="none"/>
        </w:tabs>
        <w:spacing w:line="240" w:lineRule="auto" w:before="92" w:after="0"/>
        <w:ind w:left="2599" w:right="1782" w:hanging="538"/>
        <w:jc w:val="left"/>
        <w:rPr>
          <w:sz w:val="23"/>
        </w:rPr>
      </w:pPr>
      <w:r>
        <w:rPr>
          <w:sz w:val="23"/>
        </w:rPr>
        <w:t>Where tariff classification of the imported goods has changed under HS2012 nomenclature, importers must use the HS2012 tariff classification when completing the Customs Declaration when entering the</w:t>
      </w:r>
      <w:r>
        <w:rPr>
          <w:spacing w:val="-2"/>
          <w:sz w:val="23"/>
        </w:rPr>
        <w:t> </w:t>
      </w:r>
      <w:r>
        <w:rPr>
          <w:sz w:val="23"/>
        </w:rPr>
        <w:t>goods.</w:t>
      </w:r>
    </w:p>
    <w:p>
      <w:pPr>
        <w:pStyle w:val="BodyText"/>
      </w:pPr>
    </w:p>
    <w:p>
      <w:pPr>
        <w:pStyle w:val="BodyText"/>
        <w:ind w:left="1521" w:right="2486"/>
      </w:pPr>
      <w:r>
        <w:rPr/>
        <w:t>When regulatory requirements to implement HS2012 changes have been completed in respect of the PSR schedules for each of Australia’s FTAs, a Customs and Border Protection Notice will be published to notify of the commencement of the new regulatory provisions for each of the FTAs.</w:t>
      </w:r>
    </w:p>
    <w:p>
      <w:pPr>
        <w:pStyle w:val="BodyText"/>
      </w:pPr>
    </w:p>
    <w:p>
      <w:pPr>
        <w:pStyle w:val="BodyText"/>
        <w:spacing w:before="1"/>
        <w:ind w:left="1521" w:right="1794"/>
      </w:pPr>
      <w:r>
        <w:rPr/>
        <w:t>Origin Advance Rulings that have been issued under HS2007 remain unchanged until further notice.</w:t>
      </w:r>
    </w:p>
    <w:p>
      <w:pPr>
        <w:pStyle w:val="BodyText"/>
      </w:pPr>
    </w:p>
    <w:p>
      <w:pPr>
        <w:pStyle w:val="BodyText"/>
        <w:spacing w:before="1"/>
        <w:ind w:left="1521" w:right="1872"/>
      </w:pPr>
      <w:r>
        <w:rPr/>
        <w:t>Enquiries in relation to the above temporary administrative arrangements should be directed to </w:t>
      </w:r>
      <w:hyperlink r:id="rId7">
        <w:r>
          <w:rPr>
            <w:sz w:val="24"/>
          </w:rPr>
          <w:t>origin@customs.gov.au </w:t>
        </w:r>
      </w:hyperlink>
      <w:r>
        <w:rPr/>
        <w:t>or by telephone to (03) 9244 8228.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83"/>
        <w:ind w:left="1521" w:right="0" w:firstLine="0"/>
        <w:jc w:val="left"/>
        <w:rPr>
          <w:sz w:val="24"/>
        </w:rPr>
      </w:pPr>
      <w:r>
        <w:rPr>
          <w:sz w:val="24"/>
        </w:rPr>
        <w:t>Anita Langford</w:t>
      </w:r>
    </w:p>
    <w:p>
      <w:pPr>
        <w:tabs>
          <w:tab w:pos="3057" w:val="left" w:leader="none"/>
        </w:tabs>
        <w:spacing w:before="0"/>
        <w:ind w:left="1521" w:right="7413" w:firstLine="0"/>
        <w:jc w:val="left"/>
        <w:rPr>
          <w:sz w:val="24"/>
        </w:rPr>
      </w:pPr>
      <w:r>
        <w:rPr>
          <w:sz w:val="24"/>
        </w:rPr>
        <w:t>Acting National Manager Trade Services Branch CANBERRA</w:t>
        <w:tab/>
        <w:t>ACT</w:t>
      </w:r>
    </w:p>
    <w:p>
      <w:pPr>
        <w:spacing w:before="120"/>
        <w:ind w:left="1521" w:right="0" w:firstLine="0"/>
        <w:jc w:val="left"/>
        <w:rPr>
          <w:sz w:val="24"/>
        </w:rPr>
      </w:pPr>
      <w:r>
        <w:rPr>
          <w:sz w:val="24"/>
        </w:rPr>
        <w:t>13 December</w:t>
      </w:r>
      <w:r>
        <w:rPr>
          <w:spacing w:val="-8"/>
          <w:sz w:val="24"/>
        </w:rPr>
        <w:t> </w:t>
      </w:r>
      <w:r>
        <w:rPr>
          <w:sz w:val="24"/>
        </w:rPr>
        <w:t>2011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  <w:r>
        <w:rPr/>
        <w:pict>
          <v:rect style="position:absolute;margin-left:85.080002pt;margin-top:18.398149pt;width:144pt;height:.481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54"/>
        <w:ind w:left="1521" w:right="1794" w:firstLine="0"/>
        <w:jc w:val="left"/>
        <w:rPr>
          <w:sz w:val="20"/>
        </w:rPr>
      </w:pPr>
      <w:bookmarkStart w:name="_bookmark0" w:id="4"/>
      <w:bookmarkEnd w:id="4"/>
      <w:r>
        <w:rPr/>
      </w:r>
      <w:r>
        <w:rPr>
          <w:position w:val="6"/>
          <w:sz w:val="13"/>
        </w:rPr>
        <w:t>1 </w:t>
      </w:r>
      <w:r>
        <w:rPr>
          <w:sz w:val="20"/>
        </w:rPr>
        <w:t>Australia’s tariff classification concordance can be found on the Customs and Border protection website at: </w:t>
      </w:r>
      <w:hyperlink r:id="rId8">
        <w:r>
          <w:rPr>
            <w:w w:val="95"/>
            <w:sz w:val="20"/>
          </w:rPr>
          <w:t>http://www.customs.gov.au/webdata/resources/files/NG0170B1PublishedconcordanceOct2010.</w:t>
        </w:r>
      </w:hyperlink>
      <w:r>
        <w:rPr>
          <w:w w:val="95"/>
          <w:sz w:val="20"/>
        </w:rPr>
        <w:t>   </w:t>
      </w:r>
      <w:r>
        <w:rPr>
          <w:sz w:val="20"/>
        </w:rPr>
        <w:t>pdf</w:t>
      </w:r>
    </w:p>
    <w:sectPr>
      <w:pgSz w:w="11910" w:h="16840"/>
      <w:pgMar w:top="480" w:bottom="280" w:left="18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2599" w:hanging="538"/>
        <w:jc w:val="left"/>
      </w:pPr>
      <w:rPr>
        <w:rFonts w:hint="default" w:ascii="Arial" w:hAnsi="Arial" w:eastAsia="Arial" w:cs="Arial"/>
        <w:spacing w:val="-1"/>
        <w:w w:val="100"/>
        <w:sz w:val="23"/>
        <w:szCs w:val="23"/>
      </w:rPr>
    </w:lvl>
    <w:lvl w:ilvl="1">
      <w:start w:val="0"/>
      <w:numFmt w:val="bullet"/>
      <w:lvlText w:val="•"/>
      <w:lvlJc w:val="left"/>
      <w:pPr>
        <w:ind w:left="3496" w:hanging="53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93" w:hanging="53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289" w:hanging="53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186" w:hanging="53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83" w:hanging="53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979" w:hanging="53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876" w:hanging="53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773" w:hanging="538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2340" w:hanging="279"/>
      </w:pPr>
      <w:rPr>
        <w:rFonts w:hint="default" w:ascii="Arial" w:hAnsi="Arial" w:eastAsia="Arial" w:cs="Arial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3262" w:hanging="27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185" w:hanging="27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107" w:hanging="27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030" w:hanging="27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953" w:hanging="27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875" w:hanging="27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798" w:hanging="27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721" w:hanging="279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3"/>
      <w:szCs w:val="23"/>
    </w:rPr>
  </w:style>
  <w:style w:styleId="Title" w:type="paragraph">
    <w:name w:val="Title"/>
    <w:basedOn w:val="Normal"/>
    <w:uiPriority w:val="1"/>
    <w:qFormat/>
    <w:pPr>
      <w:spacing w:before="92"/>
      <w:ind w:left="3851" w:right="1618" w:hanging="3368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ind w:left="2340" w:hanging="279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customs.gov.au/site/page4408.asp" TargetMode="External"/><Relationship Id="rId7" Type="http://schemas.openxmlformats.org/officeDocument/2006/relationships/hyperlink" Target="mailto:origin@customs.gov.au" TargetMode="External"/><Relationship Id="rId8" Type="http://schemas.openxmlformats.org/officeDocument/2006/relationships/hyperlink" Target="http://www.customs.gov.au/webdata/resources/files/NG0170B1PublishedconcordanceOct2010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2020-12-09T22:42:21Z</dcterms:created>
  <dcterms:modified xsi:type="dcterms:W3CDTF">2020-12-09T22:42:21Z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2018-09-20T00:00:00Z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2020-12-09T00:00:00Z</vt:filetime>
  </property>
</Properties>
</file>