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3"/>
        </w:rPr>
      </w:pPr>
    </w:p>
    <w:p>
      <w:pPr>
        <w:pStyle w:val="Heading1"/>
        <w:spacing w:before="89"/>
        <w:ind w:left="1612"/>
        <w:jc w:val="left"/>
        <w:rPr>
          <w:rFonts w:ascii="Times New Roman"/>
        </w:rPr>
      </w:pPr>
      <w:r>
        <w:rPr/>
        <w:drawing>
          <wp:anchor distT="0" distB="0" distL="0" distR="0" allowOverlap="1" layoutInCell="1" locked="0" behindDoc="0" simplePos="0" relativeHeight="15729152">
            <wp:simplePos x="0" y="0"/>
            <wp:positionH relativeFrom="page">
              <wp:posOffset>770314</wp:posOffset>
            </wp:positionH>
            <wp:positionV relativeFrom="paragraph">
              <wp:posOffset>-94864</wp:posOffset>
            </wp:positionV>
            <wp:extent cx="868132" cy="64120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68132" cy="641205"/>
                    </a:xfrm>
                    <a:prstGeom prst="rect">
                      <a:avLst/>
                    </a:prstGeom>
                  </pic:spPr>
                </pic:pic>
              </a:graphicData>
            </a:graphic>
          </wp:anchor>
        </w:drawing>
      </w:r>
      <w:bookmarkStart w:name="Page 1" w:id="1"/>
      <w:bookmarkEnd w:id="1"/>
      <w:r>
        <w:rPr/>
      </w:r>
      <w:r>
        <w:rPr>
          <w:rFonts w:ascii="Times New Roman"/>
        </w:rPr>
        <w:t>Australian</w:t>
      </w:r>
      <w:r>
        <w:rPr>
          <w:rFonts w:ascii="Times New Roman"/>
          <w:spacing w:val="54"/>
        </w:rPr>
        <w:t> </w:t>
      </w:r>
      <w:r>
        <w:rPr>
          <w:rFonts w:ascii="Times New Roman"/>
        </w:rPr>
        <w:t>Government</w:t>
      </w:r>
    </w:p>
    <w:p>
      <w:pPr>
        <w:spacing w:line="292" w:lineRule="auto" w:before="159"/>
        <w:ind w:left="1620" w:right="4501" w:hanging="7"/>
        <w:jc w:val="left"/>
        <w:rPr>
          <w:rFonts w:ascii="Times New Roman"/>
          <w:b/>
          <w:sz w:val="22"/>
        </w:rPr>
      </w:pPr>
      <w:r>
        <w:rPr>
          <w:rFonts w:ascii="Times New Roman"/>
          <w:b/>
          <w:w w:val="105"/>
          <w:sz w:val="22"/>
        </w:rPr>
        <w:t>Australian Customs and Border Protection</w:t>
      </w:r>
      <w:r>
        <w:rPr>
          <w:rFonts w:ascii="Times New Roman"/>
          <w:b/>
          <w:spacing w:val="29"/>
          <w:w w:val="105"/>
          <w:sz w:val="22"/>
        </w:rPr>
        <w:t> </w:t>
      </w:r>
      <w:r>
        <w:rPr>
          <w:rFonts w:ascii="Times New Roman"/>
          <w:b/>
          <w:w w:val="105"/>
          <w:sz w:val="22"/>
        </w:rPr>
        <w:t>Service</w:t>
      </w:r>
    </w:p>
    <w:p>
      <w:pPr>
        <w:pStyle w:val="BodyText"/>
        <w:rPr>
          <w:rFonts w:ascii="Times New Roman"/>
          <w:b/>
          <w:sz w:val="20"/>
        </w:rPr>
      </w:pPr>
    </w:p>
    <w:p>
      <w:pPr>
        <w:pStyle w:val="Heading1"/>
        <w:spacing w:before="221"/>
        <w:ind w:right="80"/>
      </w:pPr>
      <w:r>
        <w:rPr>
          <w:w w:val="105"/>
        </w:rPr>
        <w:t>AUSTRALIAN CUSTOMS AND BORDER PROTECTION NOTICE</w:t>
      </w:r>
    </w:p>
    <w:p>
      <w:pPr>
        <w:pStyle w:val="Title"/>
      </w:pPr>
      <w:r>
        <w:rPr>
          <w:w w:val="105"/>
        </w:rPr>
        <w:t>2012/03</w:t>
      </w:r>
    </w:p>
    <w:p>
      <w:pPr>
        <w:pStyle w:val="Heading1"/>
        <w:ind w:right="78"/>
      </w:pPr>
      <w:r>
        <w:rPr/>
        <w:pict>
          <v:line style="position:absolute;mso-position-horizontal-relative:page;mso-position-vertical-relative:paragraph;z-index:15730176" from="86.649612pt,1.699238pt" to="517.97213pt,1.699238pt" stroked="true" strokeweight=".480844pt" strokecolor="#000000">
            <v:stroke dashstyle="solid"/>
            <w10:wrap type="none"/>
          </v:line>
        </w:pict>
      </w:r>
      <w:r>
        <w:rPr>
          <w:w w:val="115"/>
        </w:rPr>
        <w:t>Application for Customs Broker Licence</w:t>
      </w:r>
    </w:p>
    <w:p>
      <w:pPr>
        <w:pStyle w:val="BodyText"/>
        <w:rPr>
          <w:sz w:val="30"/>
        </w:rPr>
      </w:pPr>
    </w:p>
    <w:p>
      <w:pPr>
        <w:pStyle w:val="BodyText"/>
        <w:spacing w:line="242" w:lineRule="auto" w:before="189"/>
        <w:ind w:left="659" w:right="137" w:hanging="2"/>
      </w:pPr>
      <w:r>
        <w:rPr>
          <w:w w:val="105"/>
        </w:rPr>
        <w:t>The following individuals have applied to the Chief Executive Officer for a customs broker licence.</w:t>
      </w:r>
    </w:p>
    <w:p>
      <w:pPr>
        <w:pStyle w:val="BodyText"/>
        <w:rPr>
          <w:sz w:val="20"/>
        </w:rPr>
      </w:pPr>
    </w:p>
    <w:p>
      <w:pPr>
        <w:pStyle w:val="BodyText"/>
        <w:rPr>
          <w:sz w:val="21"/>
        </w:rPr>
      </w:pPr>
    </w:p>
    <w:p>
      <w:pPr>
        <w:pStyle w:val="BodyText"/>
        <w:ind w:left="1491"/>
      </w:pPr>
      <w:r>
        <w:rPr>
          <w:w w:val="105"/>
          <w:u w:val="thick"/>
        </w:rPr>
        <w:t>INDIVIDUALS</w:t>
      </w:r>
    </w:p>
    <w:p>
      <w:pPr>
        <w:pStyle w:val="BodyText"/>
        <w:spacing w:before="2"/>
        <w:rPr>
          <w:sz w:val="21"/>
        </w:rPr>
      </w:pPr>
    </w:p>
    <w:p>
      <w:pPr>
        <w:pStyle w:val="BodyText"/>
        <w:spacing w:line="504" w:lineRule="auto"/>
        <w:ind w:left="1475" w:right="5280" w:firstLine="18"/>
      </w:pPr>
      <w:r>
        <w:rPr>
          <w:w w:val="105"/>
        </w:rPr>
        <w:t>PURNA, I Liang Kurniawan CHEN, Tao (Tommy) TANG, Xiangke {Cara) MILEY, Kacie Leigh</w:t>
      </w:r>
    </w:p>
    <w:p>
      <w:pPr>
        <w:pStyle w:val="BodyText"/>
        <w:spacing w:before="2"/>
        <w:ind w:left="1477"/>
      </w:pPr>
      <w:r>
        <w:rPr>
          <w:w w:val="105"/>
        </w:rPr>
        <w:t>WEIBEL-CHARLES, Kurt Paul</w:t>
      </w:r>
    </w:p>
    <w:p>
      <w:pPr>
        <w:pStyle w:val="BodyText"/>
        <w:rPr>
          <w:sz w:val="20"/>
        </w:rPr>
      </w:pPr>
    </w:p>
    <w:p>
      <w:pPr>
        <w:pStyle w:val="BodyText"/>
        <w:rPr>
          <w:sz w:val="20"/>
        </w:rPr>
      </w:pPr>
    </w:p>
    <w:p>
      <w:pPr>
        <w:pStyle w:val="BodyText"/>
        <w:rPr>
          <w:sz w:val="20"/>
        </w:rPr>
      </w:pPr>
    </w:p>
    <w:p>
      <w:pPr>
        <w:pStyle w:val="BodyText"/>
        <w:spacing w:before="5"/>
        <w:rPr>
          <w:sz w:val="20"/>
        </w:rPr>
      </w:pPr>
    </w:p>
    <w:p>
      <w:pPr>
        <w:pStyle w:val="BodyText"/>
        <w:spacing w:line="254" w:lineRule="auto" w:before="1"/>
        <w:ind w:left="616" w:hanging="3"/>
      </w:pPr>
      <w:r>
        <w:rPr>
          <w:w w:val="105"/>
        </w:rPr>
        <w:t>Any persons wishing to make written representation in respect of these applications should address the correspondence by 13 February 2012 to:</w:t>
      </w:r>
    </w:p>
    <w:p>
      <w:pPr>
        <w:pStyle w:val="BodyText"/>
        <w:spacing w:before="10"/>
        <w:rPr>
          <w:sz w:val="10"/>
        </w:rPr>
      </w:pPr>
    </w:p>
    <w:p>
      <w:pPr>
        <w:spacing w:after="0"/>
        <w:rPr>
          <w:sz w:val="10"/>
        </w:rPr>
        <w:sectPr>
          <w:type w:val="continuous"/>
          <w:pgSz w:w="11900" w:h="16820"/>
          <w:pgMar w:top="1000" w:bottom="280" w:left="1100" w:right="1600"/>
        </w:sectPr>
      </w:pPr>
    </w:p>
    <w:p>
      <w:pPr>
        <w:pStyle w:val="BodyText"/>
        <w:spacing w:before="94"/>
        <w:ind w:left="609"/>
      </w:pPr>
      <w:r>
        <w:rPr>
          <w:w w:val="105"/>
        </w:rPr>
        <w:t>Broker Licensing</w:t>
      </w:r>
    </w:p>
    <w:p>
      <w:pPr>
        <w:pStyle w:val="BodyText"/>
        <w:spacing w:line="254" w:lineRule="auto" w:before="13"/>
        <w:ind w:left="605" w:hanging="2"/>
      </w:pPr>
      <w:r>
        <w:rPr>
          <w:w w:val="105"/>
        </w:rPr>
        <w:t>Australian Customs Service 5 Constitution Avenue</w:t>
      </w:r>
    </w:p>
    <w:p>
      <w:pPr>
        <w:pStyle w:val="BodyText"/>
        <w:spacing w:line="217" w:lineRule="exact"/>
        <w:ind w:left="604"/>
      </w:pPr>
      <w:r>
        <w:rPr>
          <w:w w:val="105"/>
        </w:rPr>
        <w:t>CANBERRA ACT 2601</w:t>
      </w:r>
    </w:p>
    <w:p>
      <w:pPr>
        <w:pStyle w:val="BodyText"/>
        <w:spacing w:before="1"/>
        <w:rPr>
          <w:sz w:val="29"/>
        </w:rPr>
      </w:pPr>
      <w:r>
        <w:rPr/>
        <w:br w:type="column"/>
      </w:r>
      <w:r>
        <w:rPr>
          <w:sz w:val="29"/>
        </w:rPr>
      </w:r>
    </w:p>
    <w:p>
      <w:pPr>
        <w:pStyle w:val="BodyText"/>
        <w:ind w:left="605" w:right="211"/>
        <w:jc w:val="center"/>
      </w:pPr>
      <w:r>
        <w:rPr>
          <w:w w:val="105"/>
        </w:rPr>
        <w:t>Or email: </w:t>
      </w:r>
      <w:hyperlink r:id="rId6">
        <w:r>
          <w:rPr>
            <w:w w:val="105"/>
            <w:u w:val="thick"/>
          </w:rPr>
          <w:t>brokers.licensinq@customs.gov.au</w:t>
        </w:r>
      </w:hyperlink>
    </w:p>
    <w:p>
      <w:pPr>
        <w:spacing w:after="0"/>
        <w:jc w:val="center"/>
        <w:sectPr>
          <w:type w:val="continuous"/>
          <w:pgSz w:w="11900" w:h="16820"/>
          <w:pgMar w:top="1000" w:bottom="280" w:left="1100" w:right="1600"/>
          <w:cols w:num="2" w:equalWidth="0">
            <w:col w:w="3124" w:space="1257"/>
            <w:col w:w="4819"/>
          </w:cols>
        </w:sectPr>
      </w:pPr>
    </w:p>
    <w:p>
      <w:pPr>
        <w:pStyle w:val="BodyText"/>
        <w:spacing w:before="10"/>
        <w:rPr>
          <w:sz w:val="12"/>
        </w:rPr>
      </w:pPr>
      <w:r>
        <w:rPr/>
        <w:pict>
          <v:line style="position:absolute;mso-position-horizontal-relative:page;mso-position-vertical-relative:page;z-index:15729664" from="15.404376pt,133.193741pt" to="589.217368pt,133.193741pt" stroked="true" strokeweight="6.731814pt" strokecolor="#000000">
            <v:stroke dashstyle="solid"/>
            <w10:wrap type="none"/>
          </v:line>
        </w:pict>
      </w:r>
    </w:p>
    <w:p>
      <w:pPr>
        <w:pStyle w:val="BodyText"/>
        <w:spacing w:line="254" w:lineRule="auto" w:before="95"/>
        <w:ind w:left="587" w:right="137" w:firstLine="11"/>
      </w:pPr>
      <w:r>
        <w:rPr>
          <w:w w:val="105"/>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8"/>
        </w:rPr>
      </w:pPr>
    </w:p>
    <w:p>
      <w:pPr>
        <w:pStyle w:val="BodyText"/>
        <w:spacing w:line="254" w:lineRule="auto"/>
        <w:ind w:left="584"/>
      </w:pPr>
      <w:r>
        <w:rPr>
          <w:w w:val="105"/>
        </w:rPr>
        <w:t>Applicants will not be provided with a copy of the communication and details of its author unless Customs and Border Protection is authorised by the author to fully disclose the representation.</w:t>
      </w:r>
    </w:p>
    <w:p>
      <w:pPr>
        <w:pStyle w:val="BodyText"/>
        <w:rPr>
          <w:sz w:val="20"/>
        </w:rPr>
      </w:pPr>
    </w:p>
    <w:p>
      <w:pPr>
        <w:pStyle w:val="BodyText"/>
        <w:rPr>
          <w:sz w:val="20"/>
        </w:rPr>
      </w:pPr>
    </w:p>
    <w:p>
      <w:pPr>
        <w:pStyle w:val="BodyText"/>
        <w:spacing w:before="3"/>
        <w:rPr>
          <w:sz w:val="16"/>
        </w:rPr>
      </w:pPr>
      <w:r>
        <w:rPr/>
        <w:drawing>
          <wp:anchor distT="0" distB="0" distL="0" distR="0" allowOverlap="1" layoutInCell="1" locked="0" behindDoc="0" simplePos="0" relativeHeight="0">
            <wp:simplePos x="0" y="0"/>
            <wp:positionH relativeFrom="page">
              <wp:posOffset>1088222</wp:posOffset>
            </wp:positionH>
            <wp:positionV relativeFrom="paragraph">
              <wp:posOffset>143801</wp:posOffset>
            </wp:positionV>
            <wp:extent cx="1110724" cy="51206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110724" cy="512063"/>
                    </a:xfrm>
                    <a:prstGeom prst="rect">
                      <a:avLst/>
                    </a:prstGeom>
                  </pic:spPr>
                </pic:pic>
              </a:graphicData>
            </a:graphic>
          </wp:anchor>
        </w:drawing>
      </w:r>
    </w:p>
    <w:p>
      <w:pPr>
        <w:pStyle w:val="BodyText"/>
        <w:spacing w:line="264" w:lineRule="auto"/>
        <w:ind w:left="551" w:right="7633" w:firstLine="9"/>
      </w:pPr>
      <w:r>
        <w:rPr>
          <w:w w:val="105"/>
        </w:rPr>
        <w:t>Neil Hogan Manager</w:t>
      </w:r>
    </w:p>
    <w:p>
      <w:pPr>
        <w:pStyle w:val="BodyText"/>
        <w:spacing w:line="201" w:lineRule="exact"/>
        <w:ind w:left="556"/>
      </w:pPr>
      <w:r>
        <w:rPr>
          <w:w w:val="105"/>
        </w:rPr>
        <w:t>Compliance Policy &amp; Development</w:t>
      </w:r>
    </w:p>
    <w:p>
      <w:pPr>
        <w:spacing w:line="234" w:lineRule="exact" w:before="0"/>
        <w:ind w:left="547" w:right="0" w:firstLine="0"/>
        <w:jc w:val="left"/>
        <w:rPr>
          <w:rFonts w:ascii="Times New Roman"/>
          <w:sz w:val="21"/>
        </w:rPr>
      </w:pPr>
      <w:r>
        <w:rPr>
          <w:rFonts w:ascii="Times New Roman"/>
          <w:sz w:val="21"/>
        </w:rPr>
        <w:t>foe</w:t>
      </w:r>
    </w:p>
    <w:p>
      <w:pPr>
        <w:pStyle w:val="BodyText"/>
        <w:spacing w:before="16"/>
        <w:ind w:left="546"/>
      </w:pPr>
      <w:r>
        <w:rPr>
          <w:w w:val="105"/>
        </w:rPr>
        <w:t>Chief Executive Officer</w:t>
      </w:r>
    </w:p>
    <w:p>
      <w:pPr>
        <w:pStyle w:val="BodyText"/>
        <w:spacing w:before="138"/>
        <w:ind w:left="1840"/>
      </w:pPr>
      <w:r>
        <w:rPr>
          <w:w w:val="105"/>
        </w:rPr>
        <w:t>January 2012</w:t>
      </w:r>
    </w:p>
    <w:sectPr>
      <w:type w:val="continuous"/>
      <w:pgSz w:w="11900" w:h="16820"/>
      <w:pgMar w:top="1000" w:bottom="280" w:left="11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Courier">
    <w:altName w:val="Courier"/>
    <w:charset w:val="0"/>
    <w:family w:val="roma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50"/>
      <w:ind w:left="746"/>
      <w:jc w:val="center"/>
      <w:outlineLvl w:val="1"/>
    </w:pPr>
    <w:rPr>
      <w:rFonts w:ascii="Arial" w:hAnsi="Arial" w:eastAsia="Arial" w:cs="Arial"/>
      <w:sz w:val="27"/>
      <w:szCs w:val="27"/>
      <w:lang w:val="en-US" w:eastAsia="en-US" w:bidi="ar-SA"/>
    </w:rPr>
  </w:style>
  <w:style w:styleId="Title" w:type="paragraph">
    <w:name w:val="Title"/>
    <w:basedOn w:val="Normal"/>
    <w:uiPriority w:val="1"/>
    <w:qFormat/>
    <w:pPr>
      <w:spacing w:before="8"/>
      <w:ind w:left="746" w:right="67"/>
      <w:jc w:val="center"/>
    </w:pPr>
    <w:rPr>
      <w:rFonts w:ascii="Times New Roman" w:hAnsi="Times New Roman" w:eastAsia="Times New Roman" w:cs="Times New Roman"/>
      <w:sz w:val="29"/>
      <w:szCs w:val="29"/>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q@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2020-12-09T23:00:35Z</dcterms:created>
  <dcterms:modified xsi:type="dcterms:W3CDTF">2020-12-09T23:00:35Z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2012-01-29T00:00:00Z</vt:filetime>
  </property>
  <property fmtid="{D5CDD505-2E9C-101B-9397-08002B2CF9AE}" pid="3" name="LastSaved">
    <vt:filetime>2012-01-29T00:00:00Z</vt:filetime>
  </property>
</Properties>
</file>