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rPr>
          <w:rFonts w:ascii="Times New Roman"/>
          <w:sz w:val="11"/>
        </w:rPr>
      </w:pPr>
    </w:p>
    <w:p>
      <w:pPr>
        <w:spacing w:before="88"/>
        <w:ind w:left="1599" w:right="0" w:hanging="1"/>
        <w:jc w:val="left"/>
        <w:rPr>
          <w:rFonts w:ascii="Times New Roman"/>
          <w:b/>
          <w:sz w:val="28"/>
        </w:rPr>
      </w:pPr>
      <w:r>
        <w:rPr/>
        <w:pict>
          <v:shape style="position:absolute;margin-left:126.967606pt;margin-top:23.959005pt;width:134.2pt;height:.1pt;mso-position-horizontal-relative:page;mso-position-vertical-relative:paragraph;z-index:-15728640;mso-wrap-distance-left:0;mso-wrap-distance-right:0" coordorigin="2539,479" coordsize="2684,0" path="m2539,479l5223,479e" filled="false" stroked="true" strokeweight=".360484pt" strokecolor="#000000">
            <v:path arrowok="t"/>
            <v:stroke dashstyle="solid"/>
            <w10:wrap type="topAndBottom"/>
          </v:shape>
        </w:pict>
      </w:r>
      <w:r>
        <w:rPr/>
        <w:drawing>
          <wp:anchor distT="0" distB="0" distL="0" distR="0" allowOverlap="1" layoutInCell="1" locked="0" behindDoc="0" simplePos="0" relativeHeight="15729664">
            <wp:simplePos x="0" y="0"/>
            <wp:positionH relativeFrom="page">
              <wp:posOffset>677978</wp:posOffset>
            </wp:positionH>
            <wp:positionV relativeFrom="paragraph">
              <wp:posOffset>-84862</wp:posOffset>
            </wp:positionV>
            <wp:extent cx="870377" cy="631784"/>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870377" cy="631784"/>
                    </a:xfrm>
                    <a:prstGeom prst="rect">
                      <a:avLst/>
                    </a:prstGeom>
                  </pic:spPr>
                </pic:pic>
              </a:graphicData>
            </a:graphic>
          </wp:anchor>
        </w:drawing>
      </w:r>
      <w:bookmarkStart w:name="Page 1" w:id="1"/>
      <w:bookmarkEnd w:id="1"/>
      <w:r>
        <w:rPr/>
      </w:r>
      <w:r>
        <w:rPr>
          <w:rFonts w:ascii="Times New Roman"/>
          <w:b/>
          <w:w w:val="90"/>
          <w:sz w:val="28"/>
        </w:rPr>
        <w:t>Australian</w:t>
      </w:r>
      <w:r>
        <w:rPr>
          <w:rFonts w:ascii="Times New Roman"/>
          <w:b/>
          <w:spacing w:val="40"/>
          <w:w w:val="90"/>
          <w:sz w:val="28"/>
        </w:rPr>
        <w:t> </w:t>
      </w:r>
      <w:r>
        <w:rPr>
          <w:rFonts w:ascii="Times New Roman"/>
          <w:b/>
          <w:w w:val="90"/>
          <w:sz w:val="28"/>
        </w:rPr>
        <w:t>Government</w:t>
      </w:r>
    </w:p>
    <w:p>
      <w:pPr>
        <w:spacing w:line="252" w:lineRule="auto" w:before="36"/>
        <w:ind w:left="1602" w:right="4338" w:hanging="4"/>
        <w:jc w:val="left"/>
        <w:rPr>
          <w:rFonts w:ascii="Times New Roman"/>
          <w:b/>
          <w:sz w:val="25"/>
        </w:rPr>
      </w:pPr>
      <w:r>
        <w:rPr>
          <w:rFonts w:ascii="Times New Roman"/>
          <w:b/>
          <w:sz w:val="25"/>
        </w:rPr>
        <w:t>Australian Customs and </w:t>
      </w:r>
      <w:r>
        <w:rPr>
          <w:rFonts w:ascii="Times New Roman"/>
          <w:b/>
          <w:w w:val="95"/>
          <w:sz w:val="25"/>
        </w:rPr>
        <w:t>Border Protection</w:t>
      </w:r>
      <w:r>
        <w:rPr>
          <w:rFonts w:ascii="Times New Roman"/>
          <w:b/>
          <w:spacing w:val="-21"/>
          <w:w w:val="95"/>
          <w:sz w:val="25"/>
        </w:rPr>
        <w:t> </w:t>
      </w:r>
      <w:r>
        <w:rPr>
          <w:rFonts w:ascii="Times New Roman"/>
          <w:b/>
          <w:w w:val="95"/>
          <w:sz w:val="25"/>
        </w:rPr>
        <w:t>Service</w:t>
      </w:r>
    </w:p>
    <w:p>
      <w:pPr>
        <w:pStyle w:val="BodyText"/>
        <w:rPr>
          <w:rFonts w:ascii="Times New Roman"/>
          <w:b/>
          <w:sz w:val="20"/>
        </w:rPr>
      </w:pPr>
    </w:p>
    <w:p>
      <w:pPr>
        <w:pStyle w:val="Heading1"/>
        <w:spacing w:before="250"/>
        <w:ind w:right="68"/>
      </w:pPr>
      <w:r>
        <w:rPr>
          <w:w w:val="105"/>
        </w:rPr>
        <w:t>AUSTRALIAN CUSTOMS AND BORDER PROTECTION NOTICE</w:t>
      </w:r>
    </w:p>
    <w:p>
      <w:pPr>
        <w:pStyle w:val="Title"/>
      </w:pPr>
      <w:r>
        <w:rPr/>
        <w:pict>
          <v:line style="position:absolute;mso-position-horizontal-relative:page;mso-position-vertical-relative:paragraph;z-index:15730688" from="79.354752pt,18.012890pt" to="510.756048pt,18.012890pt" stroked="true" strokeweight=".720968pt" strokecolor="#000000">
            <v:stroke dashstyle="solid"/>
            <w10:wrap type="none"/>
          </v:line>
        </w:pict>
      </w:r>
      <w:r>
        <w:rPr>
          <w:w w:val="105"/>
        </w:rPr>
        <w:t>2012/05</w:t>
      </w:r>
    </w:p>
    <w:p>
      <w:pPr>
        <w:pStyle w:val="Heading1"/>
      </w:pPr>
      <w:r>
        <w:rPr>
          <w:w w:val="105"/>
        </w:rPr>
        <w:t>Application for Customs Broker Licence</w:t>
      </w:r>
    </w:p>
    <w:p>
      <w:pPr>
        <w:pStyle w:val="BodyText"/>
        <w:rPr>
          <w:b/>
          <w:sz w:val="30"/>
        </w:rPr>
      </w:pPr>
    </w:p>
    <w:p>
      <w:pPr>
        <w:pStyle w:val="BodyText"/>
        <w:spacing w:line="254" w:lineRule="auto" w:before="184"/>
        <w:ind w:left="658" w:right="137" w:firstLine="7"/>
      </w:pPr>
      <w:r>
        <w:rPr>
          <w:w w:val="105"/>
        </w:rPr>
        <w:t>The following individuals have applied to the Chief Executive Officer for a customs broker licence.</w:t>
      </w:r>
    </w:p>
    <w:p>
      <w:pPr>
        <w:pStyle w:val="BodyText"/>
        <w:spacing w:before="1"/>
        <w:rPr>
          <w:sz w:val="11"/>
        </w:rPr>
      </w:pPr>
    </w:p>
    <w:p>
      <w:pPr>
        <w:spacing w:after="0"/>
        <w:rPr>
          <w:sz w:val="11"/>
        </w:rPr>
        <w:sectPr>
          <w:type w:val="continuous"/>
          <w:pgSz w:w="11860" w:h="16640"/>
          <w:pgMar w:top="1080" w:bottom="280" w:left="960" w:right="1660"/>
        </w:sectPr>
      </w:pPr>
    </w:p>
    <w:p>
      <w:pPr>
        <w:pStyle w:val="Heading2"/>
        <w:spacing w:before="94"/>
        <w:ind w:left="1498"/>
      </w:pPr>
      <w:r>
        <w:rPr>
          <w:w w:val="105"/>
          <w:u w:val="thick"/>
        </w:rPr>
        <w:t>COMPANY</w:t>
      </w:r>
    </w:p>
    <w:p>
      <w:pPr>
        <w:pStyle w:val="BodyText"/>
        <w:spacing w:line="261" w:lineRule="auto" w:before="20"/>
        <w:ind w:left="1507" w:right="880" w:hanging="2"/>
      </w:pPr>
      <w:r>
        <w:rPr>
          <w:w w:val="105"/>
        </w:rPr>
        <w:t>Freightpros Ply Ltd ABN: 91 147 736 954</w:t>
      </w:r>
    </w:p>
    <w:p>
      <w:pPr>
        <w:pStyle w:val="BodyText"/>
        <w:spacing w:line="204" w:lineRule="exact"/>
        <w:ind w:left="1505"/>
      </w:pPr>
      <w:r>
        <w:rPr>
          <w:w w:val="105"/>
        </w:rPr>
        <w:t>Suite 3.11, 46-50 Kent Rd</w:t>
      </w:r>
    </w:p>
    <w:p>
      <w:pPr>
        <w:pStyle w:val="BodyText"/>
        <w:spacing w:before="5"/>
        <w:ind w:left="1507"/>
      </w:pPr>
      <w:r>
        <w:rPr>
          <w:w w:val="105"/>
        </w:rPr>
        <w:t>Mascot NSW 1460</w:t>
      </w:r>
    </w:p>
    <w:p>
      <w:pPr>
        <w:pStyle w:val="BodyText"/>
        <w:spacing w:before="1"/>
        <w:rPr>
          <w:sz w:val="21"/>
        </w:rPr>
      </w:pPr>
    </w:p>
    <w:p>
      <w:pPr>
        <w:pStyle w:val="Heading2"/>
        <w:ind w:left="1507"/>
      </w:pPr>
      <w:r>
        <w:rPr>
          <w:w w:val="105"/>
        </w:rPr>
        <w:t>Persons in Authority</w:t>
      </w:r>
    </w:p>
    <w:p>
      <w:pPr>
        <w:pStyle w:val="BodyText"/>
        <w:spacing w:before="12"/>
        <w:ind w:left="1500"/>
      </w:pPr>
      <w:r>
        <w:rPr>
          <w:w w:val="105"/>
        </w:rPr>
        <w:t>Mr Ahmed Tarek Abou EL-KHEIR</w:t>
      </w:r>
    </w:p>
    <w:p>
      <w:pPr>
        <w:pStyle w:val="BodyText"/>
        <w:spacing w:before="6"/>
        <w:rPr>
          <w:sz w:val="20"/>
        </w:rPr>
      </w:pPr>
    </w:p>
    <w:p>
      <w:pPr>
        <w:pStyle w:val="Heading2"/>
        <w:ind w:left="1500"/>
      </w:pPr>
      <w:r>
        <w:rPr>
          <w:w w:val="105"/>
        </w:rPr>
        <w:t>Nominee Brokers</w:t>
      </w:r>
    </w:p>
    <w:p>
      <w:pPr>
        <w:pStyle w:val="BodyText"/>
        <w:spacing w:before="19"/>
        <w:ind w:left="1500"/>
      </w:pPr>
      <w:r>
        <w:rPr>
          <w:w w:val="105"/>
        </w:rPr>
        <w:t>Mr Ahmed Tarek Abou EL-KHEIR</w:t>
      </w:r>
    </w:p>
    <w:p>
      <w:pPr>
        <w:pStyle w:val="BodyText"/>
        <w:spacing w:before="10"/>
        <w:rPr>
          <w:sz w:val="28"/>
        </w:rPr>
      </w:pPr>
      <w:r>
        <w:rPr/>
        <w:br w:type="column"/>
      </w:r>
      <w:r>
        <w:rPr>
          <w:sz w:val="28"/>
        </w:rPr>
      </w:r>
    </w:p>
    <w:p>
      <w:pPr>
        <w:pStyle w:val="Heading2"/>
        <w:ind w:left="498"/>
      </w:pPr>
      <w:r>
        <w:rPr>
          <w:w w:val="105"/>
          <w:u w:val="thick"/>
        </w:rPr>
        <w:t>INDIVIDUALS</w:t>
      </w:r>
    </w:p>
    <w:p>
      <w:pPr>
        <w:pStyle w:val="BodyText"/>
        <w:spacing w:before="20"/>
        <w:ind w:left="496"/>
      </w:pPr>
      <w:r>
        <w:rPr>
          <w:w w:val="105"/>
        </w:rPr>
        <w:t>YUE, Jihong</w:t>
      </w:r>
    </w:p>
    <w:p>
      <w:pPr>
        <w:pStyle w:val="BodyText"/>
        <w:spacing w:before="9"/>
      </w:pPr>
    </w:p>
    <w:p>
      <w:pPr>
        <w:pStyle w:val="Heading2"/>
        <w:spacing w:before="1"/>
        <w:ind w:left="488"/>
      </w:pPr>
      <w:r>
        <w:rPr>
          <w:w w:val="105"/>
          <w:u w:val="thick"/>
        </w:rPr>
        <w:t>COMPANY</w:t>
      </w:r>
    </w:p>
    <w:p>
      <w:pPr>
        <w:pStyle w:val="BodyText"/>
        <w:spacing w:line="261" w:lineRule="auto" w:before="12"/>
        <w:ind w:left="497" w:right="1143" w:hanging="1"/>
      </w:pPr>
      <w:r>
        <w:rPr>
          <w:w w:val="105"/>
        </w:rPr>
        <w:t>Pantos Logistics Australia Ply Ltd ABN: 14 127 402 671</w:t>
      </w:r>
    </w:p>
    <w:p>
      <w:pPr>
        <w:pStyle w:val="BodyText"/>
        <w:spacing w:line="244" w:lineRule="auto"/>
        <w:ind w:left="490" w:right="1143" w:hanging="1"/>
      </w:pPr>
      <w:r>
        <w:rPr>
          <w:w w:val="105"/>
        </w:rPr>
        <w:t>Unit C2, 200 Coward Street Mascot NSW 1460</w:t>
      </w:r>
    </w:p>
    <w:p>
      <w:pPr>
        <w:pStyle w:val="BodyText"/>
        <w:spacing w:before="1"/>
        <w:rPr>
          <w:sz w:val="20"/>
        </w:rPr>
      </w:pPr>
    </w:p>
    <w:p>
      <w:pPr>
        <w:pStyle w:val="Heading2"/>
        <w:ind w:left="490"/>
      </w:pPr>
      <w:r>
        <w:rPr>
          <w:w w:val="105"/>
        </w:rPr>
        <w:t>Persons in Authority</w:t>
      </w:r>
    </w:p>
    <w:p>
      <w:pPr>
        <w:pStyle w:val="BodyText"/>
        <w:spacing w:before="13"/>
        <w:ind w:left="483"/>
      </w:pPr>
      <w:r>
        <w:rPr>
          <w:w w:val="110"/>
        </w:rPr>
        <w:t>Mr Byoung Jik (Bill) LEE</w:t>
      </w:r>
    </w:p>
    <w:p>
      <w:pPr>
        <w:pStyle w:val="BodyText"/>
        <w:spacing w:before="5"/>
        <w:rPr>
          <w:sz w:val="20"/>
        </w:rPr>
      </w:pPr>
    </w:p>
    <w:p>
      <w:pPr>
        <w:pStyle w:val="Heading2"/>
      </w:pPr>
      <w:r>
        <w:rPr>
          <w:w w:val="105"/>
        </w:rPr>
        <w:t>Nominee Brokers</w:t>
      </w:r>
    </w:p>
    <w:p>
      <w:pPr>
        <w:pStyle w:val="BodyText"/>
        <w:spacing w:before="20"/>
        <w:ind w:left="483"/>
      </w:pPr>
      <w:r>
        <w:rPr>
          <w:w w:val="105"/>
        </w:rPr>
        <w:t>Ms Vivien (Wei) ZHENG</w:t>
      </w:r>
    </w:p>
    <w:p>
      <w:pPr>
        <w:spacing w:after="0"/>
        <w:sectPr>
          <w:type w:val="continuous"/>
          <w:pgSz w:w="11860" w:h="16640"/>
          <w:pgMar w:top="1080" w:bottom="280" w:left="960" w:right="1660"/>
          <w:cols w:num="2" w:equalWidth="0">
            <w:col w:w="4505" w:space="40"/>
            <w:col w:w="4695"/>
          </w:cols>
        </w:sectPr>
      </w:pPr>
    </w:p>
    <w:p>
      <w:pPr>
        <w:pStyle w:val="BodyText"/>
        <w:spacing w:before="3"/>
        <w:rPr>
          <w:sz w:val="12"/>
        </w:rPr>
      </w:pPr>
    </w:p>
    <w:p>
      <w:pPr>
        <w:pStyle w:val="BodyText"/>
        <w:spacing w:line="244" w:lineRule="auto" w:before="95"/>
        <w:ind w:left="641" w:hanging="1"/>
      </w:pPr>
      <w:r>
        <w:rPr>
          <w:w w:val="105"/>
        </w:rPr>
        <w:t>Any persons wishing to make written representation in respect of these applications should address the correspondence by 27 February 2012 to:</w:t>
      </w:r>
    </w:p>
    <w:p>
      <w:pPr>
        <w:pStyle w:val="BodyText"/>
        <w:spacing w:before="7"/>
        <w:rPr>
          <w:sz w:val="12"/>
        </w:rPr>
      </w:pPr>
    </w:p>
    <w:p>
      <w:pPr>
        <w:spacing w:after="0"/>
        <w:rPr>
          <w:sz w:val="12"/>
        </w:rPr>
        <w:sectPr>
          <w:type w:val="continuous"/>
          <w:pgSz w:w="11860" w:h="16640"/>
          <w:pgMar w:top="1080" w:bottom="280" w:left="960" w:right="1660"/>
        </w:sectPr>
      </w:pPr>
    </w:p>
    <w:p>
      <w:pPr>
        <w:pStyle w:val="BodyText"/>
        <w:spacing w:before="94"/>
        <w:ind w:left="634"/>
      </w:pPr>
      <w:r>
        <w:rPr>
          <w:w w:val="105"/>
        </w:rPr>
        <w:t>Broker Licensing</w:t>
      </w:r>
    </w:p>
    <w:p>
      <w:pPr>
        <w:pStyle w:val="BodyText"/>
        <w:spacing w:line="244" w:lineRule="auto" w:before="12"/>
        <w:ind w:left="640" w:firstLine="1"/>
      </w:pPr>
      <w:r>
        <w:rPr>
          <w:w w:val="105"/>
        </w:rPr>
        <w:t>Australian Customs Service 5 Constitution Avenue</w:t>
      </w:r>
    </w:p>
    <w:p>
      <w:pPr>
        <w:pStyle w:val="BodyText"/>
        <w:spacing w:before="16"/>
        <w:ind w:left="632"/>
      </w:pPr>
      <w:r>
        <w:rPr>
          <w:w w:val="105"/>
        </w:rPr>
        <w:t>CANBERRA ACT 2601</w:t>
      </w:r>
    </w:p>
    <w:p>
      <w:pPr>
        <w:pStyle w:val="BodyText"/>
        <w:spacing w:before="2"/>
        <w:rPr>
          <w:sz w:val="28"/>
        </w:rPr>
      </w:pPr>
      <w:r>
        <w:rPr/>
        <w:br w:type="column"/>
      </w:r>
      <w:r>
        <w:rPr>
          <w:sz w:val="28"/>
        </w:rPr>
      </w:r>
    </w:p>
    <w:p>
      <w:pPr>
        <w:pStyle w:val="BodyText"/>
        <w:ind w:left="632"/>
      </w:pPr>
      <w:r>
        <w:rPr>
          <w:w w:val="105"/>
        </w:rPr>
        <w:t>Or email: </w:t>
      </w:r>
      <w:hyperlink r:id="rId6">
        <w:r>
          <w:rPr>
            <w:w w:val="105"/>
            <w:u w:val="thick"/>
          </w:rPr>
          <w:t>brokers.licensing@customs.gov.au</w:t>
        </w:r>
      </w:hyperlink>
    </w:p>
    <w:p>
      <w:pPr>
        <w:spacing w:after="0"/>
        <w:sectPr>
          <w:type w:val="continuous"/>
          <w:pgSz w:w="11860" w:h="16640"/>
          <w:pgMar w:top="1080" w:bottom="280" w:left="960" w:right="1660"/>
          <w:cols w:num="2" w:equalWidth="0">
            <w:col w:w="3162" w:space="1225"/>
            <w:col w:w="4853"/>
          </w:cols>
        </w:sectPr>
      </w:pPr>
    </w:p>
    <w:p>
      <w:pPr>
        <w:pStyle w:val="BodyText"/>
        <w:spacing w:before="10"/>
        <w:rPr>
          <w:sz w:val="12"/>
        </w:rPr>
      </w:pPr>
      <w:r>
        <w:rPr/>
        <w:pict>
          <v:line style="position:absolute;mso-position-horizontal-relative:page;mso-position-vertical-relative:page;z-index:15730176" from="8.656882pt,136.984009pt" to="581.453922pt,136.984009pt" stroked="true" strokeweight="7.209684pt" strokecolor="#000000">
            <v:stroke dashstyle="solid"/>
            <w10:wrap type="none"/>
          </v:line>
        </w:pict>
      </w:r>
    </w:p>
    <w:p>
      <w:pPr>
        <w:pStyle w:val="BodyText"/>
        <w:spacing w:line="254" w:lineRule="auto" w:before="95"/>
        <w:ind w:left="627" w:right="137" w:firstLine="6"/>
      </w:pPr>
      <w:r>
        <w:rPr>
          <w:w w:val="105"/>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
      </w:pPr>
    </w:p>
    <w:p>
      <w:pPr>
        <w:pStyle w:val="BodyText"/>
        <w:spacing w:line="254" w:lineRule="auto"/>
        <w:ind w:left="624" w:firstLine="2"/>
      </w:pPr>
      <w:r>
        <w:rPr>
          <w:w w:val="105"/>
        </w:rPr>
        <w:t>Applicants will not be provided with a copy of the communication and details of its author unless Customs and Border Protection is authorised by the author to fully disclose the representation.</w:t>
      </w:r>
    </w:p>
    <w:p>
      <w:pPr>
        <w:pStyle w:val="BodyText"/>
        <w:rPr>
          <w:sz w:val="20"/>
        </w:rPr>
      </w:pPr>
    </w:p>
    <w:p>
      <w:pPr>
        <w:pStyle w:val="BodyText"/>
        <w:rPr>
          <w:sz w:val="20"/>
        </w:rPr>
      </w:pPr>
    </w:p>
    <w:p>
      <w:pPr>
        <w:pStyle w:val="BodyText"/>
        <w:spacing w:before="5"/>
        <w:rPr>
          <w:sz w:val="16"/>
        </w:rPr>
      </w:pPr>
      <w:r>
        <w:rPr/>
        <w:drawing>
          <wp:anchor distT="0" distB="0" distL="0" distR="0" allowOverlap="1" layoutInCell="1" locked="0" behindDoc="0" simplePos="0" relativeHeight="1">
            <wp:simplePos x="0" y="0"/>
            <wp:positionH relativeFrom="page">
              <wp:posOffset>994062</wp:posOffset>
            </wp:positionH>
            <wp:positionV relativeFrom="paragraph">
              <wp:posOffset>145292</wp:posOffset>
            </wp:positionV>
            <wp:extent cx="1093372" cy="475488"/>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093372" cy="475488"/>
                    </a:xfrm>
                    <a:prstGeom prst="rect">
                      <a:avLst/>
                    </a:prstGeom>
                  </pic:spPr>
                </pic:pic>
              </a:graphicData>
            </a:graphic>
          </wp:anchor>
        </w:drawing>
      </w:r>
    </w:p>
    <w:p>
      <w:pPr>
        <w:pStyle w:val="BodyText"/>
        <w:spacing w:line="261" w:lineRule="auto" w:before="39"/>
        <w:ind w:left="612" w:right="7622" w:hanging="1"/>
      </w:pPr>
      <w:r>
        <w:rPr>
          <w:w w:val="105"/>
        </w:rPr>
        <w:t>Neil Hogan A/ Director</w:t>
      </w:r>
    </w:p>
    <w:p>
      <w:pPr>
        <w:pStyle w:val="BodyText"/>
        <w:spacing w:line="244" w:lineRule="auto"/>
        <w:ind w:left="610" w:right="5357" w:hanging="1"/>
      </w:pPr>
      <w:r>
        <w:rPr>
          <w:w w:val="105"/>
        </w:rPr>
        <w:t>Compliance Policy &amp; Development for</w:t>
      </w:r>
    </w:p>
    <w:p>
      <w:pPr>
        <w:pStyle w:val="BodyText"/>
        <w:ind w:left="610"/>
      </w:pPr>
      <w:r>
        <w:rPr>
          <w:w w:val="105"/>
        </w:rPr>
        <w:t>Chief Executive Officer</w:t>
      </w:r>
    </w:p>
    <w:p>
      <w:pPr>
        <w:pStyle w:val="BodyText"/>
        <w:spacing w:before="150"/>
        <w:ind w:left="1902"/>
      </w:pPr>
      <w:r>
        <w:rPr>
          <w:w w:val="105"/>
        </w:rPr>
        <w:t>February 2012</w:t>
      </w:r>
    </w:p>
    <w:sectPr>
      <w:type w:val="continuous"/>
      <w:pgSz w:w="11860" w:h="16640"/>
      <w:pgMar w:top="1080" w:bottom="280" w:left="9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Courier">
    <w:altName w:val="Courier"/>
    <w:charset w:val="0"/>
    <w:family w:val="roman"/>
    <w:pitch w:val="fixed"/>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9"/>
      <w:szCs w:val="19"/>
      <w:lang w:val="en-US" w:eastAsia="en-US" w:bidi="ar-SA"/>
    </w:rPr>
  </w:style>
  <w:style w:styleId="Heading1" w:type="paragraph">
    <w:name w:val="Heading 1"/>
    <w:basedOn w:val="Normal"/>
    <w:uiPriority w:val="1"/>
    <w:qFormat/>
    <w:pPr>
      <w:spacing w:before="52"/>
      <w:ind w:left="704" w:right="64"/>
      <w:jc w:val="center"/>
      <w:outlineLvl w:val="1"/>
    </w:pPr>
    <w:rPr>
      <w:rFonts w:ascii="Arial" w:hAnsi="Arial" w:eastAsia="Arial" w:cs="Arial"/>
      <w:b/>
      <w:bCs/>
      <w:sz w:val="27"/>
      <w:szCs w:val="27"/>
      <w:lang w:val="en-US" w:eastAsia="en-US" w:bidi="ar-SA"/>
    </w:rPr>
  </w:style>
  <w:style w:styleId="Heading2" w:type="paragraph">
    <w:name w:val="Heading 2"/>
    <w:basedOn w:val="Normal"/>
    <w:uiPriority w:val="1"/>
    <w:qFormat/>
    <w:pPr>
      <w:ind w:left="483"/>
      <w:outlineLvl w:val="2"/>
    </w:pPr>
    <w:rPr>
      <w:rFonts w:ascii="Arial" w:hAnsi="Arial" w:eastAsia="Arial" w:cs="Arial"/>
      <w:b/>
      <w:bCs/>
      <w:sz w:val="19"/>
      <w:szCs w:val="19"/>
      <w:lang w:val="en-US" w:eastAsia="en-US" w:bidi="ar-SA"/>
    </w:rPr>
  </w:style>
  <w:style w:styleId="Title" w:type="paragraph">
    <w:name w:val="Title"/>
    <w:basedOn w:val="Normal"/>
    <w:uiPriority w:val="1"/>
    <w:qFormat/>
    <w:pPr>
      <w:spacing w:before="3"/>
      <w:ind w:left="700" w:right="68"/>
      <w:jc w:val="center"/>
    </w:pPr>
    <w:rPr>
      <w:rFonts w:ascii="Times New Roman" w:hAnsi="Times New Roman" w:eastAsia="Times New Roman" w:cs="Times New Roman"/>
      <w:b/>
      <w:bCs/>
      <w:sz w:val="29"/>
      <w:szCs w:val="29"/>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2020-12-09T22:53:40Z</dcterms:created>
  <dcterms:modified xsi:type="dcterms:W3CDTF">2020-12-09T22:53:40Z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2012-02-08T00:00:00Z</vt:filetime>
  </property>
  <property fmtid="{D5CDD505-2E9C-101B-9397-08002B2CF9AE}" pid="3" name="LastSaved">
    <vt:filetime>2012-02-08T00:00:00Z</vt:filetime>
  </property>
</Properties>
</file>