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3"/>
        <w:rPr>
          <w:rFonts w:ascii="Times New Roman"/>
          <w:sz w:val="20"/>
        </w:rPr>
      </w:pPr>
      <w:r>
        <w:rPr>
          <w:rFonts w:ascii="Times New Roman"/>
          <w:sz w:val="20"/>
        </w:rPr>
        <w:drawing>
          <wp:inline distT="0" distB="0" distL="0" distR="0">
            <wp:extent cx="7201721" cy="108756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1721" cy="1087564"/>
                    </a:xfrm>
                    <a:prstGeom prst="rect">
                      <a:avLst/>
                    </a:prstGeom>
                  </pic:spPr>
                </pic:pic>
              </a:graphicData>
            </a:graphic>
          </wp:inline>
        </w:drawing>
      </w:r>
      <w:r>
        <w:rPr>
          <w:rFonts w:ascii="Times New Roman"/>
          <w:sz w:val="20"/>
        </w:rPr>
      </w:r>
    </w:p>
    <w:p>
      <w:pPr>
        <w:pStyle w:val="BodyText"/>
        <w:rPr>
          <w:rFonts w:ascii="Times New Roman"/>
          <w:sz w:val="20"/>
        </w:rPr>
      </w:pPr>
    </w:p>
    <w:p>
      <w:pPr>
        <w:pStyle w:val="BodyText"/>
        <w:rPr>
          <w:rFonts w:ascii="Times New Roman"/>
          <w:sz w:val="20"/>
        </w:rPr>
      </w:pPr>
    </w:p>
    <w:p>
      <w:pPr>
        <w:pStyle w:val="Title"/>
        <w:spacing w:line="230" w:lineRule="auto" w:before="230" w:after="21"/>
        <w:ind w:left="4977"/>
      </w:pPr>
      <w:r>
        <w:rPr/>
        <w:t>AUSTRALIAN CUSTOMS AND BORDER PROTECTION NOTICE NO. 2012/07</w:t>
      </w:r>
    </w:p>
    <w:p>
      <w:pPr>
        <w:pStyle w:val="BodyText"/>
        <w:spacing w:line="20" w:lineRule="exact"/>
        <w:ind w:left="1492"/>
        <w:rPr>
          <w:sz w:val="2"/>
        </w:rPr>
      </w:pPr>
      <w:r>
        <w:rPr>
          <w:sz w:val="2"/>
        </w:rPr>
        <w:pict>
          <v:group style="width:428.05pt;height:.75pt;mso-position-horizontal-relative:char;mso-position-vertical-relative:line" coordorigin="0,0" coordsize="8561,15">
            <v:rect style="position:absolute;left:0;top:0;width:8561;height:15" filled="true" fillcolor="#000000" stroked="false">
              <v:fill type="solid"/>
            </v:rect>
          </v:group>
        </w:pict>
      </w:r>
      <w:r>
        <w:rPr>
          <w:sz w:val="2"/>
        </w:rPr>
      </w:r>
    </w:p>
    <w:p>
      <w:pPr>
        <w:pStyle w:val="BodyText"/>
        <w:spacing w:before="2"/>
        <w:rPr>
          <w:b/>
          <w:sz w:val="18"/>
        </w:rPr>
      </w:pPr>
    </w:p>
    <w:p>
      <w:pPr>
        <w:pStyle w:val="Title"/>
        <w:spacing w:line="230" w:lineRule="auto"/>
        <w:ind w:right="1916" w:hanging="1035"/>
      </w:pPr>
      <w:r>
        <w:rPr/>
        <w:t>Australia - New Zealand Closer Economic Relations Trade Agreement – Rules of Origin requirements</w:t>
      </w:r>
    </w:p>
    <w:p>
      <w:pPr>
        <w:pStyle w:val="BodyText"/>
        <w:spacing w:before="6"/>
        <w:rPr>
          <w:b/>
          <w:sz w:val="23"/>
        </w:rPr>
      </w:pPr>
    </w:p>
    <w:p>
      <w:pPr>
        <w:pStyle w:val="BodyText"/>
        <w:spacing w:line="235" w:lineRule="auto" w:before="1"/>
        <w:ind w:left="1521" w:right="1875"/>
      </w:pPr>
      <w:r>
        <w:rPr/>
        <w:t>This notice seeks to clarify current rules of origin requirements under the Australia – New Zealand Closer Economic Relations Trade Agreement (ANZCERTA).</w:t>
      </w:r>
    </w:p>
    <w:p>
      <w:pPr>
        <w:pStyle w:val="BodyText"/>
        <w:spacing w:before="7"/>
        <w:rPr>
          <w:sz w:val="21"/>
        </w:rPr>
      </w:pPr>
    </w:p>
    <w:p>
      <w:pPr>
        <w:pStyle w:val="BodyText"/>
        <w:spacing w:line="235" w:lineRule="auto"/>
        <w:ind w:left="1521" w:right="1656"/>
      </w:pPr>
      <w:r>
        <w:rPr/>
        <w:t>On 1 January 2012, the factory cost rule of origin under Subdivision G of Division 1E of the </w:t>
      </w:r>
      <w:r>
        <w:rPr>
          <w:i/>
        </w:rPr>
        <w:t>Customs Act 1901 </w:t>
      </w:r>
      <w:r>
        <w:rPr/>
        <w:t>was repealed. Australia Customs Notice No. 2006/64 refers. This means that, for goods imported into Australia on or after 1 January 2012, importers can no longer use Preference Rule Type “P50” to claim Preference Scheme Type “NZ” in the Integrated Cargo System (ICS).</w:t>
      </w:r>
    </w:p>
    <w:p>
      <w:pPr>
        <w:pStyle w:val="BodyText"/>
        <w:spacing w:before="5"/>
        <w:rPr>
          <w:sz w:val="21"/>
        </w:rPr>
      </w:pPr>
    </w:p>
    <w:p>
      <w:pPr>
        <w:pStyle w:val="BodyText"/>
        <w:spacing w:line="232" w:lineRule="auto"/>
        <w:ind w:left="1521" w:right="1704"/>
      </w:pPr>
      <w:r>
        <w:rPr/>
        <w:t>To qualify for ANZCERTA preferential tariff treatment, imported goods must meet one of the current origin criteria to be considered as New Zealand originating:</w:t>
      </w:r>
    </w:p>
    <w:p>
      <w:pPr>
        <w:pStyle w:val="BodyText"/>
        <w:spacing w:before="4"/>
        <w:rPr>
          <w:sz w:val="23"/>
        </w:rPr>
      </w:pPr>
    </w:p>
    <w:p>
      <w:pPr>
        <w:pStyle w:val="ListParagraph"/>
        <w:numPr>
          <w:ilvl w:val="0"/>
          <w:numId w:val="1"/>
        </w:numPr>
        <w:tabs>
          <w:tab w:pos="2242" w:val="left" w:leader="none"/>
        </w:tabs>
        <w:spacing w:line="228" w:lineRule="auto" w:before="0" w:after="0"/>
        <w:ind w:left="2241" w:right="2035" w:hanging="360"/>
        <w:jc w:val="both"/>
        <w:rPr>
          <w:sz w:val="22"/>
        </w:rPr>
      </w:pPr>
      <w:r>
        <w:rPr>
          <w:sz w:val="22"/>
        </w:rPr>
        <w:t>Goods are wholly obtained in New Zealand, or New Zealand and Australia, such as minerals extracted there, plants grown there, or products obtained from such</w:t>
      </w:r>
      <w:r>
        <w:rPr>
          <w:spacing w:val="1"/>
          <w:sz w:val="22"/>
        </w:rPr>
        <w:t> </w:t>
      </w:r>
      <w:r>
        <w:rPr>
          <w:sz w:val="22"/>
        </w:rPr>
        <w:t>plants;</w:t>
      </w:r>
    </w:p>
    <w:p>
      <w:pPr>
        <w:pStyle w:val="BodyText"/>
        <w:spacing w:before="8"/>
        <w:rPr>
          <w:sz w:val="23"/>
        </w:rPr>
      </w:pPr>
    </w:p>
    <w:p>
      <w:pPr>
        <w:pStyle w:val="ListParagraph"/>
        <w:numPr>
          <w:ilvl w:val="0"/>
          <w:numId w:val="1"/>
        </w:numPr>
        <w:tabs>
          <w:tab w:pos="2241" w:val="left" w:leader="none"/>
          <w:tab w:pos="2242" w:val="left" w:leader="none"/>
        </w:tabs>
        <w:spacing w:line="223" w:lineRule="auto" w:before="0" w:after="0"/>
        <w:ind w:left="2241" w:right="2244" w:hanging="360"/>
        <w:jc w:val="left"/>
        <w:rPr>
          <w:sz w:val="22"/>
        </w:rPr>
      </w:pPr>
      <w:r>
        <w:rPr>
          <w:sz w:val="22"/>
        </w:rPr>
        <w:t>Goods produced entirely in New Zealand, or New Zealand and Australia, exclusively from originating goods</w:t>
      </w:r>
      <w:r>
        <w:rPr>
          <w:spacing w:val="-2"/>
          <w:sz w:val="22"/>
        </w:rPr>
        <w:t> </w:t>
      </w:r>
      <w:r>
        <w:rPr>
          <w:sz w:val="22"/>
        </w:rPr>
        <w:t>only;</w:t>
      </w:r>
    </w:p>
    <w:p>
      <w:pPr>
        <w:pStyle w:val="BodyText"/>
        <w:spacing w:before="3"/>
      </w:pPr>
    </w:p>
    <w:p>
      <w:pPr>
        <w:pStyle w:val="ListParagraph"/>
        <w:numPr>
          <w:ilvl w:val="0"/>
          <w:numId w:val="1"/>
        </w:numPr>
        <w:tabs>
          <w:tab w:pos="2241" w:val="left" w:leader="none"/>
          <w:tab w:pos="2242" w:val="left" w:leader="none"/>
        </w:tabs>
        <w:spacing w:line="240" w:lineRule="auto" w:before="0" w:after="0"/>
        <w:ind w:left="2241" w:right="0" w:hanging="361"/>
        <w:jc w:val="left"/>
        <w:rPr>
          <w:sz w:val="22"/>
        </w:rPr>
      </w:pPr>
      <w:r>
        <w:rPr>
          <w:sz w:val="22"/>
        </w:rPr>
        <w:t>Goods wholly manufactured in New Zealand from one or more of the</w:t>
      </w:r>
      <w:r>
        <w:rPr>
          <w:spacing w:val="-17"/>
          <w:sz w:val="22"/>
        </w:rPr>
        <w:t> </w:t>
      </w:r>
      <w:r>
        <w:rPr>
          <w:sz w:val="22"/>
        </w:rPr>
        <w:t>following:</w:t>
      </w:r>
    </w:p>
    <w:p>
      <w:pPr>
        <w:pStyle w:val="ListParagraph"/>
        <w:numPr>
          <w:ilvl w:val="1"/>
          <w:numId w:val="1"/>
        </w:numPr>
        <w:tabs>
          <w:tab w:pos="2961" w:val="left" w:leader="none"/>
          <w:tab w:pos="2962" w:val="left" w:leader="none"/>
        </w:tabs>
        <w:spacing w:line="259" w:lineRule="exact" w:before="232" w:after="0"/>
        <w:ind w:left="2961" w:right="0" w:hanging="361"/>
        <w:jc w:val="left"/>
        <w:rPr>
          <w:sz w:val="22"/>
        </w:rPr>
      </w:pPr>
      <w:r>
        <w:rPr>
          <w:sz w:val="22"/>
        </w:rPr>
        <w:t>unmanufactured raw</w:t>
      </w:r>
      <w:r>
        <w:rPr>
          <w:spacing w:val="-6"/>
          <w:sz w:val="22"/>
        </w:rPr>
        <w:t> </w:t>
      </w:r>
      <w:r>
        <w:rPr>
          <w:sz w:val="22"/>
        </w:rPr>
        <w:t>products;</w:t>
      </w:r>
    </w:p>
    <w:p>
      <w:pPr>
        <w:pStyle w:val="ListParagraph"/>
        <w:numPr>
          <w:ilvl w:val="1"/>
          <w:numId w:val="1"/>
        </w:numPr>
        <w:tabs>
          <w:tab w:pos="2961" w:val="left" w:leader="none"/>
          <w:tab w:pos="2962" w:val="left" w:leader="none"/>
        </w:tabs>
        <w:spacing w:line="230" w:lineRule="auto" w:before="4" w:after="0"/>
        <w:ind w:left="2961" w:right="1688" w:hanging="360"/>
        <w:jc w:val="left"/>
        <w:rPr>
          <w:sz w:val="22"/>
        </w:rPr>
      </w:pPr>
      <w:r>
        <w:rPr>
          <w:sz w:val="22"/>
        </w:rPr>
        <w:t>materials wholly manufactured in Australia or New Zealand or Australia and New Zealand;</w:t>
      </w:r>
      <w:r>
        <w:rPr>
          <w:spacing w:val="-2"/>
          <w:sz w:val="22"/>
        </w:rPr>
        <w:t> </w:t>
      </w:r>
      <w:r>
        <w:rPr>
          <w:sz w:val="22"/>
        </w:rPr>
        <w:t>or</w:t>
      </w:r>
    </w:p>
    <w:p>
      <w:pPr>
        <w:pStyle w:val="ListParagraph"/>
        <w:numPr>
          <w:ilvl w:val="1"/>
          <w:numId w:val="1"/>
        </w:numPr>
        <w:tabs>
          <w:tab w:pos="2961" w:val="left" w:leader="none"/>
          <w:tab w:pos="2962" w:val="left" w:leader="none"/>
        </w:tabs>
        <w:spacing w:line="260" w:lineRule="exact" w:before="0" w:after="0"/>
        <w:ind w:left="2961" w:right="0" w:hanging="361"/>
        <w:jc w:val="left"/>
        <w:rPr>
          <w:sz w:val="22"/>
        </w:rPr>
      </w:pPr>
      <w:r>
        <w:rPr>
          <w:sz w:val="22"/>
        </w:rPr>
        <w:t>determined manufactured raw materials;</w:t>
      </w:r>
      <w:r>
        <w:rPr>
          <w:spacing w:val="-7"/>
          <w:sz w:val="22"/>
        </w:rPr>
        <w:t> </w:t>
      </w:r>
      <w:r>
        <w:rPr>
          <w:sz w:val="22"/>
        </w:rPr>
        <w:t>or</w:t>
      </w:r>
    </w:p>
    <w:p>
      <w:pPr>
        <w:pStyle w:val="BodyText"/>
        <w:spacing w:before="4"/>
      </w:pPr>
    </w:p>
    <w:p>
      <w:pPr>
        <w:pStyle w:val="ListParagraph"/>
        <w:numPr>
          <w:ilvl w:val="0"/>
          <w:numId w:val="1"/>
        </w:numPr>
        <w:tabs>
          <w:tab w:pos="2241" w:val="left" w:leader="none"/>
          <w:tab w:pos="2242" w:val="left" w:leader="none"/>
        </w:tabs>
        <w:spacing w:line="230" w:lineRule="auto" w:before="0" w:after="0"/>
        <w:ind w:left="2241" w:right="1742" w:hanging="360"/>
        <w:jc w:val="left"/>
        <w:rPr>
          <w:sz w:val="22"/>
        </w:rPr>
      </w:pPr>
      <w:r>
        <w:rPr>
          <w:sz w:val="22"/>
        </w:rPr>
        <w:t>Goods produced entirely in New Zealand, or New Zealand and Australia, from non-originating materials only, or from non-originating materials and originating materials. Under this criteria, the non-originating materials must meet the requirements of product specific rules as listed in the </w:t>
      </w:r>
      <w:r>
        <w:rPr>
          <w:i/>
          <w:sz w:val="22"/>
        </w:rPr>
        <w:t>Customs (New Zealand Rules of Origin) Amendment Regulations</w:t>
      </w:r>
      <w:r>
        <w:rPr>
          <w:i/>
          <w:spacing w:val="-5"/>
          <w:sz w:val="22"/>
        </w:rPr>
        <w:t> </w:t>
      </w:r>
      <w:r>
        <w:rPr>
          <w:i/>
          <w:sz w:val="22"/>
        </w:rPr>
        <w:t>2011</w:t>
      </w:r>
      <w:r>
        <w:rPr>
          <w:sz w:val="22"/>
        </w:rPr>
        <w:t>.</w:t>
      </w:r>
    </w:p>
    <w:p>
      <w:pPr>
        <w:pStyle w:val="BodyText"/>
      </w:pPr>
    </w:p>
    <w:p>
      <w:pPr>
        <w:pStyle w:val="BodyText"/>
        <w:spacing w:line="235" w:lineRule="auto"/>
        <w:ind w:left="1521" w:right="1900"/>
      </w:pPr>
      <w:r>
        <w:rPr/>
        <w:t>Detailed explanation of each criteria and other applicable requirements, such as the consignment provision, can be found in the relevant instructions and guidelines on ANZCERTA, available at: </w:t>
      </w:r>
      <w:hyperlink r:id="rId6">
        <w:r>
          <w:rPr>
            <w:color w:val="0000FF"/>
            <w:u w:val="single" w:color="0000FF"/>
          </w:rPr>
          <w:t>http://www.customs.gov.au/webdata/resources/files/PS200913-ig-Aus-NZ-</w:t>
        </w:r>
      </w:hyperlink>
      <w:r>
        <w:rPr>
          <w:color w:val="0000FF"/>
        </w:rPr>
        <w:t> </w:t>
      </w:r>
      <w:r>
        <w:rPr>
          <w:color w:val="0000FF"/>
          <w:u w:val="single" w:color="0000FF"/>
        </w:rPr>
        <w:t>Closer_Economic_Relations_Trade_Agreement.pdf</w:t>
      </w:r>
      <w:r>
        <w:rPr/>
        <w:t>.</w:t>
      </w:r>
    </w:p>
    <w:p>
      <w:pPr>
        <w:spacing w:after="0" w:line="235" w:lineRule="auto"/>
        <w:sectPr>
          <w:type w:val="continuous"/>
          <w:pgSz w:w="11900" w:h="16840"/>
          <w:pgMar w:top="1140" w:bottom="280" w:left="180" w:right="160"/>
        </w:sectPr>
      </w:pPr>
    </w:p>
    <w:p>
      <w:pPr>
        <w:pStyle w:val="BodyText"/>
        <w:spacing w:line="235" w:lineRule="auto" w:before="52"/>
        <w:ind w:left="1521" w:right="1801"/>
      </w:pPr>
      <w:r>
        <w:rPr/>
        <w:t>Importers may claim ANZCERTA preferential treatment based on exporters’ declarations. In supporting the preference claims, the declarations should clearly identify the goods to which they apply, and specify the particular rule of origin criteria which the goods meet.</w:t>
      </w:r>
    </w:p>
    <w:p>
      <w:pPr>
        <w:pStyle w:val="BodyText"/>
        <w:spacing w:before="8"/>
        <w:rPr>
          <w:sz w:val="21"/>
        </w:rPr>
      </w:pPr>
    </w:p>
    <w:p>
      <w:pPr>
        <w:pStyle w:val="BodyText"/>
        <w:spacing w:line="232" w:lineRule="auto" w:before="1"/>
        <w:ind w:left="1521" w:right="1899"/>
      </w:pPr>
      <w:r>
        <w:rPr/>
        <w:t>For further information on how to claim preference in the ICS, refer to the document titled “Integrated Cargo System – claiming preferential tariff rates, available on the ANZCERTA web page, at: </w:t>
      </w:r>
      <w:hyperlink r:id="rId7">
        <w:r>
          <w:rPr>
            <w:color w:val="0000FF"/>
            <w:u w:val="single" w:color="0000FF"/>
          </w:rPr>
          <w:t>http://www.customs.gov.au/site/page6011.asp</w:t>
        </w:r>
        <w:r>
          <w:rPr/>
          <w:t>.</w:t>
        </w:r>
      </w:hyperlink>
    </w:p>
    <w:p>
      <w:pPr>
        <w:pStyle w:val="BodyText"/>
        <w:spacing w:before="8"/>
        <w:rPr>
          <w:sz w:val="21"/>
        </w:rPr>
      </w:pPr>
    </w:p>
    <w:p>
      <w:pPr>
        <w:pStyle w:val="BodyText"/>
        <w:spacing w:line="235" w:lineRule="auto" w:before="1"/>
        <w:ind w:left="1521" w:right="1834"/>
      </w:pPr>
      <w:r>
        <w:rPr/>
        <w:t>Inquiries concerning this notice may be directed to </w:t>
      </w:r>
      <w:hyperlink r:id="rId8">
        <w:r>
          <w:rPr>
            <w:color w:val="0000FF"/>
            <w:u w:val="single" w:color="0000FF"/>
          </w:rPr>
          <w:t>origin@customs.gov.au</w:t>
        </w:r>
        <w:r>
          <w:rPr/>
          <w:t>, </w:t>
        </w:r>
      </w:hyperlink>
      <w:r>
        <w:rPr/>
        <w:t>or to the Valuation and Origin Section on telephone number (02) 6275 6556.</w:t>
      </w:r>
    </w:p>
    <w:p>
      <w:pPr>
        <w:pStyle w:val="BodyText"/>
      </w:pPr>
    </w:p>
    <w:p>
      <w:pPr>
        <w:pStyle w:val="BodyText"/>
      </w:pPr>
    </w:p>
    <w:p>
      <w:pPr>
        <w:pStyle w:val="BodyText"/>
      </w:pPr>
    </w:p>
    <w:p>
      <w:pPr>
        <w:pStyle w:val="BodyText"/>
      </w:pPr>
    </w:p>
    <w:p>
      <w:pPr>
        <w:pStyle w:val="BodyText"/>
        <w:spacing w:before="6"/>
        <w:rPr>
          <w:sz w:val="17"/>
        </w:rPr>
      </w:pPr>
    </w:p>
    <w:p>
      <w:pPr>
        <w:pStyle w:val="BodyText"/>
        <w:spacing w:line="235" w:lineRule="auto"/>
        <w:ind w:left="1521" w:right="7781"/>
      </w:pPr>
      <w:r>
        <w:rPr/>
        <w:t>Geoffrey Johannes National Manager Trade Services Branch CANBERRA</w:t>
      </w:r>
      <w:r>
        <w:rPr>
          <w:spacing w:val="-1"/>
        </w:rPr>
        <w:t> </w:t>
      </w:r>
      <w:r>
        <w:rPr/>
        <w:t>ACT</w:t>
      </w:r>
    </w:p>
    <w:p>
      <w:pPr>
        <w:pStyle w:val="BodyText"/>
        <w:rPr>
          <w:sz w:val="21"/>
        </w:rPr>
      </w:pPr>
    </w:p>
    <w:p>
      <w:pPr>
        <w:pStyle w:val="BodyText"/>
        <w:ind w:left="1521"/>
      </w:pPr>
      <w:r>
        <w:rPr/>
        <w:t>15 February</w:t>
      </w:r>
      <w:r>
        <w:rPr>
          <w:spacing w:val="-9"/>
        </w:rPr>
        <w:t> </w:t>
      </w:r>
      <w:r>
        <w:rPr/>
        <w:t>2012</w:t>
      </w:r>
    </w:p>
    <w:sectPr>
      <w:pgSz w:w="11900" w:h="16840"/>
      <w:pgMar w:top="108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0"/>
    <w:family w:val="auto"/>
    <w:pitch w:val="variable"/>
  </w:font>
  <w:font w:name="Courier">
    <w:altName w:val="Courier"/>
    <w:charset w:val="0"/>
    <w:family w:val="roman"/>
    <w:pitch w:val="fixed"/>
  </w:font>
  <w:font w:name="Helvetica">
    <w:altName w:val="Helvetica"/>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2241" w:hanging="360"/>
      </w:pPr>
      <w:rPr>
        <w:rFonts w:hint="default" w:ascii="Symbol" w:hAnsi="Symbol" w:eastAsia="Symbol" w:cs="Symbol"/>
        <w:w w:val="100"/>
        <w:sz w:val="22"/>
        <w:szCs w:val="22"/>
      </w:rPr>
    </w:lvl>
    <w:lvl w:ilvl="1">
      <w:start w:val="0"/>
      <w:numFmt w:val="bullet"/>
      <w:lvlText w:val="o"/>
      <w:lvlJc w:val="left"/>
      <w:pPr>
        <w:ind w:left="2961" w:hanging="360"/>
      </w:pPr>
      <w:rPr>
        <w:rFonts w:hint="default" w:ascii="Courier" w:hAnsi="Courier" w:eastAsia="Courier" w:cs="Courier"/>
        <w:w w:val="100"/>
        <w:sz w:val="22"/>
        <w:szCs w:val="22"/>
      </w:rPr>
    </w:lvl>
    <w:lvl w:ilvl="2">
      <w:start w:val="0"/>
      <w:numFmt w:val="bullet"/>
      <w:lvlText w:val="•"/>
      <w:lvlJc w:val="left"/>
      <w:pPr>
        <w:ind w:left="3915" w:hanging="360"/>
      </w:pPr>
      <w:rPr>
        <w:rFonts w:hint="default"/>
      </w:rPr>
    </w:lvl>
    <w:lvl w:ilvl="3">
      <w:start w:val="0"/>
      <w:numFmt w:val="bullet"/>
      <w:lvlText w:val="•"/>
      <w:lvlJc w:val="left"/>
      <w:pPr>
        <w:ind w:left="4871" w:hanging="360"/>
      </w:pPr>
      <w:rPr>
        <w:rFonts w:hint="default"/>
      </w:rPr>
    </w:lvl>
    <w:lvl w:ilvl="4">
      <w:start w:val="0"/>
      <w:numFmt w:val="bullet"/>
      <w:lvlText w:val="•"/>
      <w:lvlJc w:val="left"/>
      <w:pPr>
        <w:ind w:left="5826" w:hanging="360"/>
      </w:pPr>
      <w:rPr>
        <w:rFonts w:hint="default"/>
      </w:rPr>
    </w:lvl>
    <w:lvl w:ilvl="5">
      <w:start w:val="0"/>
      <w:numFmt w:val="bullet"/>
      <w:lvlText w:val="•"/>
      <w:lvlJc w:val="left"/>
      <w:pPr>
        <w:ind w:left="6782" w:hanging="360"/>
      </w:pPr>
      <w:rPr>
        <w:rFonts w:hint="default"/>
      </w:rPr>
    </w:lvl>
    <w:lvl w:ilvl="6">
      <w:start w:val="0"/>
      <w:numFmt w:val="bullet"/>
      <w:lvlText w:val="•"/>
      <w:lvlJc w:val="left"/>
      <w:pPr>
        <w:ind w:left="7737" w:hanging="360"/>
      </w:pPr>
      <w:rPr>
        <w:rFonts w:hint="default"/>
      </w:rPr>
    </w:lvl>
    <w:lvl w:ilvl="7">
      <w:start w:val="0"/>
      <w:numFmt w:val="bullet"/>
      <w:lvlText w:val="•"/>
      <w:lvlJc w:val="left"/>
      <w:pPr>
        <w:ind w:left="8693" w:hanging="360"/>
      </w:pPr>
      <w:rPr>
        <w:rFonts w:hint="default"/>
      </w:rPr>
    </w:lvl>
    <w:lvl w:ilvl="8">
      <w:start w:val="0"/>
      <w:numFmt w:val="bullet"/>
      <w:lvlText w:val="•"/>
      <w:lvlJc w:val="left"/>
      <w:pPr>
        <w:ind w:left="9648"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22"/>
      <w:szCs w:val="22"/>
    </w:rPr>
  </w:style>
  <w:style w:styleId="Title" w:type="paragraph">
    <w:name w:val="Title"/>
    <w:basedOn w:val="Normal"/>
    <w:uiPriority w:val="1"/>
    <w:qFormat/>
    <w:pPr>
      <w:spacing w:before="60"/>
      <w:ind w:left="2956" w:right="1608" w:hanging="3368"/>
    </w:pPr>
    <w:rPr>
      <w:rFonts w:ascii="Helvetica" w:hAnsi="Helvetica" w:eastAsia="Helvetica" w:cs="Helvetica"/>
      <w:b/>
      <w:bCs/>
      <w:sz w:val="28"/>
      <w:szCs w:val="28"/>
    </w:rPr>
  </w:style>
  <w:style w:styleId="ListParagraph" w:type="paragraph">
    <w:name w:val="List Paragraph"/>
    <w:basedOn w:val="Normal"/>
    <w:uiPriority w:val="1"/>
    <w:qFormat/>
    <w:pPr>
      <w:ind w:left="2241" w:hanging="360"/>
    </w:pPr>
    <w:rPr>
      <w:rFonts w:ascii="Helvetica" w:hAnsi="Helvetica" w:eastAsia="Helvetica" w:cs="Helvetic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customs.gov.au/webdata/resources/files/PS200913-ig-Aus-NZ-" TargetMode="External"/><Relationship Id="rId7" Type="http://schemas.openxmlformats.org/officeDocument/2006/relationships/hyperlink" Target="http://www.customs.gov.au/site/page6011.asp" TargetMode="External"/><Relationship Id="rId8" Type="http://schemas.openxmlformats.org/officeDocument/2006/relationships/hyperlink" Target="mailto:origin@customs.gov.au"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c8fwg</dc:creator>
  <dc:title>Microsoft Word - ACN 201207.doc</dc:title>
  <dcterms:created xsi:type="dcterms:W3CDTF">2020-12-09T22:54:31Z</dcterms:created>
  <dcterms:modified xsi:type="dcterms:W3CDTF">2020-12-09T22:54:31Z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2012-02-16T00:00:00Z</vt:filetime>
  </property>
  <property fmtid="{D5CDD505-2E9C-101B-9397-08002B2CF9AE}" pid="3" name="Creator">
    <vt:lpwstr>PScript5.dll Version 5.2.2</vt:lpwstr>
  </property>
  <property fmtid="{D5CDD505-2E9C-101B-9397-08002B2CF9AE}" pid="4" name="LastSaved">
    <vt:filetime>2020-12-09T00:00:00Z</vt:filetime>
  </property>
</Properties>
</file>