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Heading1"/>
        <w:spacing w:line="230" w:lineRule="auto" w:before="88"/>
        <w:ind w:left="4977" w:right="1608" w:hanging="3368"/>
      </w:pPr>
      <w:r>
        <w:rPr/>
        <w:pict>
          <v:rect style="position:absolute;margin-left:83.639519pt;margin-top:37.581470pt;width:428.03999pt;height:.71953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2012/31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48"/>
        <w:ind w:left="3085" w:right="3096" w:firstLine="0"/>
        <w:jc w:val="center"/>
        <w:rPr>
          <w:b/>
          <w:sz w:val="28"/>
        </w:rPr>
      </w:pPr>
      <w:r>
        <w:rPr>
          <w:b/>
          <w:sz w:val="28"/>
        </w:rPr>
        <w:t>Statistical Code changes for 1 July 2012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32" w:lineRule="auto"/>
        <w:ind w:left="1521" w:right="1722"/>
      </w:pPr>
      <w:r>
        <w:rPr/>
        <w:t>The Australian Bureau of Statistics (ABS) has advised changes to statistical codes under subheadings 0406.40.10, 8443.31.00, 8443.32.00, 8471.30.00, 8471.60.00 and 8528.72.00 in</w:t>
      </w:r>
    </w:p>
    <w:p>
      <w:pPr>
        <w:pStyle w:val="BodyText"/>
        <w:spacing w:line="235" w:lineRule="auto"/>
        <w:ind w:left="1521" w:right="1608"/>
      </w:pPr>
      <w:r>
        <w:rPr/>
        <w:t>the Customs Tariff Working Pages for imports from 1 July 2012. The attached Concordance links pre July 2012 statistical codes with post July 2012 statistical codes.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 w:before="1"/>
        <w:ind w:left="1521" w:right="1681"/>
      </w:pPr>
      <w:r>
        <w:rPr/>
        <w:t>Please note that where statistical codes have changed, the existing statistical codes will cease to operate from 1 July 2012.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/>
        <w:ind w:left="1521" w:right="1548"/>
      </w:pPr>
      <w:r>
        <w:rPr/>
        <w:t>The Department of Agriculture, Fisheries and Forestry has requested separate statistical codes for roquefort and stilton cheeses in Chapter 4 to support existing food inspection requirements.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1548"/>
      </w:pPr>
      <w:r>
        <w:rPr/>
        <w:t>The changes to the statistical codes for Chapters 84 and 85 will facilitate the clearer identification of multifunction devices, laptops/other portable computers, scanners and televisions. These changes will assist in the administration of the National Television and Computer Recycling Scheme (the </w:t>
      </w:r>
      <w:r>
        <w:rPr>
          <w:i/>
        </w:rPr>
        <w:t>Product Stewardship (Televisions and Computers) Regulations 2011 </w:t>
      </w:r>
      <w:r>
        <w:rPr/>
        <w:t>refer). The Department of Sustainability, Environment, Water, Population and Communities is responsible for providing regulatory oversight of the Scheme.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ind w:left="1521"/>
      </w:pPr>
      <w:r>
        <w:rPr>
          <w:u w:val="single"/>
        </w:rPr>
        <w:t>No AHECC changes for 1 July 2012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35" w:lineRule="auto" w:before="68"/>
        <w:ind w:left="1521" w:right="2492"/>
      </w:pPr>
      <w:r>
        <w:rPr/>
        <w:t>The ABS has advised there are no amendments to statistical codes for the Australian Harmonized Export Commodity Classification (AHECC) for exports for 1 July 2012.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521"/>
      </w:pPr>
      <w:r>
        <w:rPr>
          <w:u w:val="single"/>
        </w:rPr>
        <w:t>Tariff reprint pages</w:t>
      </w:r>
    </w:p>
    <w:p>
      <w:pPr>
        <w:pStyle w:val="BodyText"/>
        <w:spacing w:before="4"/>
        <w:rPr>
          <w:sz w:val="13"/>
        </w:rPr>
      </w:pPr>
    </w:p>
    <w:p>
      <w:pPr>
        <w:spacing w:before="65"/>
        <w:ind w:left="1521" w:right="0" w:firstLine="0"/>
        <w:jc w:val="left"/>
        <w:rPr>
          <w:i/>
          <w:sz w:val="20"/>
        </w:rPr>
      </w:pPr>
      <w:r>
        <w:rPr>
          <w:i/>
          <w:sz w:val="20"/>
        </w:rPr>
        <w:t>Schedule 3 (statistical code changes)</w:t>
      </w:r>
    </w:p>
    <w:p>
      <w:pPr>
        <w:pStyle w:val="BodyText"/>
        <w:spacing w:before="4"/>
        <w:rPr>
          <w:i/>
          <w:sz w:val="19"/>
        </w:rPr>
      </w:pPr>
    </w:p>
    <w:p>
      <w:pPr>
        <w:pStyle w:val="BodyText"/>
        <w:tabs>
          <w:tab w:pos="3717" w:val="left" w:leader="none"/>
          <w:tab w:pos="5918" w:val="left" w:leader="none"/>
          <w:tab w:pos="8116" w:val="left" w:leader="none"/>
        </w:tabs>
        <w:spacing w:line="233" w:lineRule="exact"/>
        <w:ind w:left="1521"/>
      </w:pPr>
      <w:r>
        <w:rPr/>
        <w:t>4/5</w:t>
      </w:r>
      <w:r>
        <w:rPr>
          <w:spacing w:val="-4"/>
        </w:rPr>
        <w:t> </w:t>
      </w:r>
      <w:r>
        <w:rPr/>
        <w:t>(R.7)</w:t>
        <w:tab/>
        <w:t>84/43</w:t>
      </w:r>
      <w:r>
        <w:rPr>
          <w:spacing w:val="-3"/>
        </w:rPr>
        <w:t> </w:t>
      </w:r>
      <w:r>
        <w:rPr/>
        <w:t>(R.6)</w:t>
        <w:tab/>
        <w:t>84/59</w:t>
      </w:r>
      <w:r>
        <w:rPr>
          <w:spacing w:val="-4"/>
        </w:rPr>
        <w:t> </w:t>
      </w:r>
      <w:r>
        <w:rPr/>
        <w:t>(R.9)</w:t>
        <w:tab/>
        <w:t>84/60A</w:t>
      </w:r>
      <w:r>
        <w:rPr>
          <w:spacing w:val="-2"/>
        </w:rPr>
        <w:t> </w:t>
      </w:r>
      <w:r>
        <w:rPr/>
        <w:t>(R.0)</w:t>
      </w:r>
    </w:p>
    <w:p>
      <w:pPr>
        <w:pStyle w:val="BodyText"/>
        <w:spacing w:line="233" w:lineRule="exact"/>
        <w:ind w:left="1521"/>
      </w:pPr>
      <w:r>
        <w:rPr/>
        <w:t>85/27 (R.13)</w:t>
      </w:r>
    </w:p>
    <w:p>
      <w:pPr>
        <w:pStyle w:val="BodyText"/>
        <w:spacing w:before="11"/>
        <w:rPr>
          <w:sz w:val="22"/>
        </w:rPr>
      </w:pPr>
    </w:p>
    <w:p>
      <w:pPr>
        <w:spacing w:before="0"/>
        <w:ind w:left="1521" w:right="0" w:firstLine="0"/>
        <w:jc w:val="left"/>
        <w:rPr>
          <w:i/>
          <w:sz w:val="20"/>
        </w:rPr>
      </w:pPr>
      <w:r>
        <w:rPr>
          <w:i/>
          <w:sz w:val="20"/>
        </w:rPr>
        <w:t>Schedule 3 (error correction)</w:t>
      </w: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ind w:left="1521"/>
      </w:pPr>
      <w:r>
        <w:rPr/>
        <w:t>38/15 (R.5)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521" w:right="2721"/>
      </w:pPr>
      <w:r>
        <w:rPr/>
        <w:t>This page is reprinted to correct a typographical error in the duty rate of subheading 3824.90.60.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1681"/>
      </w:pPr>
      <w:r>
        <w:rPr/>
        <w:t>The tariff reprint pages will also be available on the Australian Customs and Border Protection Service website from 25 June 2012. The website address is: </w:t>
      </w:r>
      <w:hyperlink r:id="rId6">
        <w:r>
          <w:rPr>
            <w:color w:val="0000FF"/>
            <w:u w:val="single" w:color="0000FF"/>
          </w:rPr>
          <w:t>www.customs.gov.au</w:t>
        </w:r>
        <w:r>
          <w:rPr>
            <w:color w:val="0000FF"/>
          </w:rPr>
          <w:t> </w:t>
        </w:r>
      </w:hyperlink>
      <w:r>
        <w:rPr/>
        <w:t>(Select ‘tariff’ then ‘working tariff current’).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/>
        <w:ind w:left="1521" w:right="2721"/>
      </w:pPr>
      <w:r>
        <w:rPr/>
        <w:t>Alternatively, click on the following link: </w:t>
      </w:r>
      <w:hyperlink r:id="rId7">
        <w:r>
          <w:rPr>
            <w:color w:val="0000FF"/>
            <w:w w:val="95"/>
            <w:u w:val="single" w:color="0000FF"/>
          </w:rPr>
          <w:t>http://www.customs.gov.au/tariff/tariff2012.asp</w:t>
        </w:r>
      </w:hyperlink>
    </w:p>
    <w:p>
      <w:pPr>
        <w:spacing w:after="0" w:line="235" w:lineRule="auto"/>
        <w:sectPr>
          <w:type w:val="continuous"/>
          <w:pgSz w:w="11900" w:h="16840"/>
          <w:pgMar w:top="1140" w:bottom="280" w:left="180" w:right="160"/>
        </w:sectPr>
      </w:pPr>
    </w:p>
    <w:p>
      <w:pPr>
        <w:pStyle w:val="BodyText"/>
        <w:spacing w:before="47"/>
        <w:ind w:right="13"/>
        <w:jc w:val="center"/>
      </w:pPr>
      <w:r>
        <w:rPr>
          <w:w w:val="99"/>
          <w:u w:val="single"/>
        </w:rPr>
        <w:t>2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64"/>
        <w:ind w:left="1521"/>
      </w:pPr>
      <w:r>
        <w:rPr>
          <w:u w:val="single"/>
        </w:rPr>
        <w:t>Further Information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line="235" w:lineRule="auto" w:before="68"/>
        <w:ind w:left="1521" w:right="1548"/>
      </w:pPr>
      <w:r>
        <w:rPr/>
        <w:t>If Customs and Border Protection clients receive error messages in the ICS when accessing the statistical codes, they should contact Customs Systems Support, either by email at </w:t>
      </w:r>
      <w:hyperlink r:id="rId8">
        <w:r>
          <w:rPr/>
          <w:t>cargosupport@customs.gov.au </w:t>
        </w:r>
      </w:hyperlink>
      <w:r>
        <w:rPr/>
        <w:t>or by phone on 1300 558 099.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521"/>
      </w:pPr>
      <w:r>
        <w:rPr/>
        <w:t>Further information about those changes is available as follows: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top="1080" w:bottom="280" w:left="180" w:right="160"/>
        </w:sectPr>
      </w:pPr>
    </w:p>
    <w:p>
      <w:pPr>
        <w:pStyle w:val="BodyText"/>
        <w:spacing w:line="235" w:lineRule="auto" w:before="68"/>
        <w:ind w:left="1521" w:right="-18"/>
      </w:pPr>
      <w:r>
        <w:rPr>
          <w:u w:val="single"/>
        </w:rPr>
        <w:t>for changes to the Customs Tariff Working</w:t>
      </w:r>
      <w:r>
        <w:rPr/>
        <w:t> </w:t>
      </w:r>
      <w:r>
        <w:rPr>
          <w:u w:val="single"/>
        </w:rPr>
        <w:t>Pages</w:t>
      </w:r>
    </w:p>
    <w:p>
      <w:pPr>
        <w:pStyle w:val="BodyText"/>
        <w:spacing w:line="233" w:lineRule="exact" w:before="87"/>
        <w:ind w:left="1521"/>
      </w:pPr>
      <w:r>
        <w:rPr/>
        <w:t>Manager Tariff Legislation</w:t>
      </w:r>
    </w:p>
    <w:p>
      <w:pPr>
        <w:pStyle w:val="BodyText"/>
        <w:spacing w:line="232" w:lineRule="auto" w:before="4"/>
        <w:ind w:left="1521" w:right="-8"/>
      </w:pPr>
      <w:r>
        <w:rPr/>
        <w:t>Australian Customs and Border Protection Service</w:t>
      </w:r>
    </w:p>
    <w:p>
      <w:pPr>
        <w:pStyle w:val="BodyText"/>
        <w:spacing w:line="232" w:lineRule="exact"/>
        <w:ind w:left="1521"/>
      </w:pPr>
      <w:r>
        <w:rPr/>
        <w:t>Ph: (02) 6275 6542</w:t>
      </w:r>
    </w:p>
    <w:p>
      <w:pPr>
        <w:pStyle w:val="BodyText"/>
        <w:spacing w:before="64"/>
        <w:ind w:left="600"/>
      </w:pPr>
      <w:r>
        <w:rPr/>
        <w:br w:type="column"/>
      </w:r>
      <w:r>
        <w:rPr>
          <w:u w:val="single"/>
        </w:rPr>
        <w:t>for changes to the statistical codes</w:t>
      </w:r>
    </w:p>
    <w:p>
      <w:pPr>
        <w:pStyle w:val="BodyText"/>
        <w:spacing w:line="235" w:lineRule="auto" w:before="90"/>
        <w:ind w:left="600" w:right="2963"/>
      </w:pPr>
      <w:r>
        <w:rPr/>
        <w:t>Classification Manager International Trade Section Australian Bureau of Statistics Ph: (02) 6252 5409</w:t>
      </w:r>
    </w:p>
    <w:p>
      <w:pPr>
        <w:pStyle w:val="BodyText"/>
        <w:spacing w:line="229" w:lineRule="exact"/>
        <w:ind w:left="600"/>
      </w:pPr>
      <w:r>
        <w:rPr/>
        <w:t>E-mail: </w:t>
      </w:r>
      <w:hyperlink r:id="rId9">
        <w:r>
          <w:rPr>
            <w:color w:val="0000FF"/>
            <w:u w:val="single" w:color="0000FF"/>
          </w:rPr>
          <w:t>international.trade@abs.gov.au</w:t>
        </w:r>
      </w:hyperlink>
    </w:p>
    <w:p>
      <w:pPr>
        <w:spacing w:after="0" w:line="229" w:lineRule="exact"/>
        <w:sectPr>
          <w:type w:val="continuous"/>
          <w:pgSz w:w="11900" w:h="16840"/>
          <w:pgMar w:top="1140" w:bottom="280" w:left="180" w:right="160"/>
          <w:cols w:num="2" w:equalWidth="0">
            <w:col w:w="5269" w:space="40"/>
            <w:col w:w="62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32" w:lineRule="exact" w:before="64"/>
        <w:ind w:left="1521"/>
      </w:pPr>
      <w:r>
        <w:rPr/>
        <w:t>(signed)</w:t>
      </w:r>
    </w:p>
    <w:p>
      <w:pPr>
        <w:pStyle w:val="BodyText"/>
        <w:spacing w:line="235" w:lineRule="auto"/>
        <w:ind w:left="1521" w:right="8440"/>
      </w:pPr>
      <w:r>
        <w:rPr/>
        <w:t>Geoff Johannes National Manager</w:t>
      </w:r>
    </w:p>
    <w:p>
      <w:pPr>
        <w:pStyle w:val="BodyText"/>
        <w:spacing w:line="235" w:lineRule="auto"/>
        <w:ind w:left="1521" w:right="6673"/>
      </w:pPr>
      <w:r>
        <w:rPr/>
        <w:t>Tariff Policy &amp; Implementation Branch 20 June 2012</w:t>
      </w:r>
    </w:p>
    <w:p>
      <w:pPr>
        <w:spacing w:after="0" w:line="235" w:lineRule="auto"/>
        <w:sectPr>
          <w:type w:val="continuous"/>
          <w:pgSz w:w="11900" w:h="16840"/>
          <w:pgMar w:top="1140" w:bottom="280" w:left="180" w:right="160"/>
        </w:sectPr>
      </w:pPr>
    </w:p>
    <w:p>
      <w:pPr>
        <w:pStyle w:val="Heading1"/>
        <w:jc w:val="right"/>
      </w:pPr>
      <w:r>
        <w:rPr/>
        <w:t>Attachment</w:t>
      </w:r>
    </w:p>
    <w:tbl>
      <w:tblPr>
        <w:tblW w:w="0" w:type="auto"/>
        <w:jc w:val="left"/>
        <w:tblInd w:w="1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220"/>
        <w:gridCol w:w="2050"/>
        <w:gridCol w:w="2336"/>
      </w:tblGrid>
      <w:tr>
        <w:trPr>
          <w:trHeight w:val="705" w:hRule="atLeast"/>
        </w:trPr>
        <w:tc>
          <w:tcPr>
            <w:tcW w:w="8656" w:type="dxa"/>
            <w:gridSpan w:val="4"/>
          </w:tcPr>
          <w:p>
            <w:pPr>
              <w:pStyle w:val="TableParagraph"/>
              <w:spacing w:before="4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311" w:lineRule="exact"/>
              <w:ind w:left="7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Concordance for 1 July 2012 statistical code changes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17" w:lineRule="exact" w:before="16"/>
              <w:ind w:left="364" w:right="355"/>
              <w:rPr>
                <w:b/>
                <w:sz w:val="20"/>
              </w:rPr>
            </w:pPr>
            <w:r>
              <w:rPr>
                <w:b/>
                <w:sz w:val="20"/>
              </w:rPr>
              <w:t>Pre July 2012</w:t>
            </w:r>
          </w:p>
        </w:tc>
        <w:tc>
          <w:tcPr>
            <w:tcW w:w="2220" w:type="dxa"/>
          </w:tcPr>
          <w:p>
            <w:pPr>
              <w:pStyle w:val="TableParagraph"/>
              <w:spacing w:line="217" w:lineRule="exact" w:before="16"/>
              <w:ind w:left="393" w:right="387"/>
              <w:rPr>
                <w:b/>
                <w:sz w:val="20"/>
              </w:rPr>
            </w:pPr>
            <w:r>
              <w:rPr>
                <w:b/>
                <w:sz w:val="20"/>
              </w:rPr>
              <w:t>Post July 2012</w:t>
            </w:r>
          </w:p>
        </w:tc>
        <w:tc>
          <w:tcPr>
            <w:tcW w:w="2050" w:type="dxa"/>
          </w:tcPr>
          <w:p>
            <w:pPr>
              <w:pStyle w:val="TableParagraph"/>
              <w:spacing w:line="217" w:lineRule="exact" w:before="16"/>
              <w:ind w:left="364" w:right="356"/>
              <w:rPr>
                <w:b/>
                <w:sz w:val="20"/>
              </w:rPr>
            </w:pPr>
            <w:r>
              <w:rPr>
                <w:b/>
                <w:sz w:val="20"/>
              </w:rPr>
              <w:t>Pre July 2012</w:t>
            </w:r>
          </w:p>
        </w:tc>
        <w:tc>
          <w:tcPr>
            <w:tcW w:w="2336" w:type="dxa"/>
          </w:tcPr>
          <w:p>
            <w:pPr>
              <w:pStyle w:val="TableParagraph"/>
              <w:spacing w:line="217" w:lineRule="exact" w:before="16"/>
              <w:ind w:left="450" w:right="445"/>
              <w:rPr>
                <w:b/>
                <w:sz w:val="20"/>
              </w:rPr>
            </w:pPr>
            <w:r>
              <w:rPr>
                <w:b/>
                <w:sz w:val="20"/>
              </w:rPr>
              <w:t>Post July 2012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13" w:lineRule="exact" w:before="21"/>
              <w:ind w:left="364" w:right="355"/>
              <w:rPr>
                <w:sz w:val="20"/>
              </w:rPr>
            </w:pPr>
            <w:r>
              <w:rPr>
                <w:sz w:val="20"/>
              </w:rPr>
              <w:t>0406.40.10/15</w:t>
            </w:r>
          </w:p>
        </w:tc>
        <w:tc>
          <w:tcPr>
            <w:tcW w:w="2220" w:type="dxa"/>
          </w:tcPr>
          <w:p>
            <w:pPr>
              <w:pStyle w:val="TableParagraph"/>
              <w:spacing w:line="213" w:lineRule="exact" w:before="21"/>
              <w:ind w:left="393" w:right="387"/>
              <w:rPr>
                <w:sz w:val="20"/>
              </w:rPr>
            </w:pPr>
            <w:r>
              <w:rPr>
                <w:sz w:val="20"/>
              </w:rPr>
              <w:t>0406.40.10/09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8443.32.00/72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8443.32.00/32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0406.40.10/10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8443.31.00/61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8443.32.00/34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8443.32.00/35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8443.32.00/37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8443.32.00/38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8443.32.00/39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8443.31.00/26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8443.32.00/73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8443.32.00/31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8443.32.00/32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8443.31.00/64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8443.32.00/34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8443.32.00/35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8443.32.00/37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8443.32.00/38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8443.32.00/39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8443.31.00/26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8443.32.00/74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8443.31.00/65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8443.32.00/34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8443.32.00/35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8443.32.00/37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8443.32.00/38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8443.32.00/39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8443.31.00/26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8443.32.00/79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8443.31.00/90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8443.32.00/34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8443.32.00/35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8443.32.00/36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8443.32.00/37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8443.32.00/38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8443.32.00/39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8443.31.00/26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8471.30.00/20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8471.30.00/31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8471.30.00/33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8443.31.00/28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8471.30.00/34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8443.32.00/71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8443.32.00/31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8471.60.00/95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8471.60.00/65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8471.60.00/66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8471.60.00/67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8443.32.00/34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8528.72.00/20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8443.32.00/36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8528.72.00/84</w:t>
            </w:r>
          </w:p>
        </w:tc>
      </w:tr>
      <w:tr>
        <w:trPr>
          <w:trHeight w:val="254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8528.72.00/85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8443.32.00/39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8443.32.00/72</w:t>
            </w:r>
          </w:p>
        </w:tc>
        <w:tc>
          <w:tcPr>
            <w:tcW w:w="2220" w:type="dxa"/>
          </w:tcPr>
          <w:p>
            <w:pPr>
              <w:pStyle w:val="TableParagraph"/>
              <w:spacing w:line="230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8443.32.00/31</w:t>
            </w:r>
          </w:p>
        </w:tc>
        <w:tc>
          <w:tcPr>
            <w:tcW w:w="2050" w:type="dxa"/>
          </w:tcPr>
          <w:p>
            <w:pPr>
              <w:pStyle w:val="TableParagraph"/>
              <w:spacing w:line="230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8528.72.00/21</w:t>
            </w:r>
          </w:p>
        </w:tc>
        <w:tc>
          <w:tcPr>
            <w:tcW w:w="2336" w:type="dxa"/>
          </w:tcPr>
          <w:p>
            <w:pPr>
              <w:pStyle w:val="TableParagraph"/>
              <w:spacing w:line="230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</w:tr>
    </w:tbl>
    <w:p>
      <w:pPr>
        <w:spacing w:after="0" w:line="230" w:lineRule="exact"/>
        <w:rPr>
          <w:sz w:val="20"/>
        </w:rPr>
        <w:sectPr>
          <w:pgSz w:w="11900" w:h="16840"/>
          <w:pgMar w:top="1100" w:bottom="280" w:left="180" w:right="160"/>
        </w:sectPr>
      </w:pPr>
    </w:p>
    <w:tbl>
      <w:tblPr>
        <w:tblW w:w="0" w:type="auto"/>
        <w:jc w:val="left"/>
        <w:tblInd w:w="1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220"/>
        <w:gridCol w:w="2050"/>
        <w:gridCol w:w="2336"/>
      </w:tblGrid>
      <w:tr>
        <w:trPr>
          <w:trHeight w:val="705" w:hRule="atLeast"/>
        </w:trPr>
        <w:tc>
          <w:tcPr>
            <w:tcW w:w="8656" w:type="dxa"/>
            <w:gridSpan w:val="4"/>
          </w:tcPr>
          <w:p>
            <w:pPr>
              <w:pStyle w:val="TableParagraph"/>
              <w:spacing w:before="9"/>
              <w:jc w:val="left"/>
              <w:rPr>
                <w:b/>
                <w:sz w:val="30"/>
              </w:rPr>
            </w:pPr>
          </w:p>
          <w:p>
            <w:pPr>
              <w:pStyle w:val="TableParagraph"/>
              <w:spacing w:line="318" w:lineRule="exact"/>
              <w:ind w:left="7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Concordance for 1 July 2012 statistical code changes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27" w:lineRule="exact" w:before="9"/>
              <w:ind w:left="364" w:right="355"/>
              <w:rPr>
                <w:b/>
                <w:sz w:val="20"/>
              </w:rPr>
            </w:pPr>
            <w:r>
              <w:rPr>
                <w:b/>
                <w:sz w:val="20"/>
              </w:rPr>
              <w:t>Pre July 2012</w:t>
            </w:r>
          </w:p>
        </w:tc>
        <w:tc>
          <w:tcPr>
            <w:tcW w:w="2220" w:type="dxa"/>
          </w:tcPr>
          <w:p>
            <w:pPr>
              <w:pStyle w:val="TableParagraph"/>
              <w:spacing w:line="227" w:lineRule="exact" w:before="9"/>
              <w:ind w:left="393" w:right="387"/>
              <w:rPr>
                <w:b/>
                <w:sz w:val="20"/>
              </w:rPr>
            </w:pPr>
            <w:r>
              <w:rPr>
                <w:b/>
                <w:sz w:val="20"/>
              </w:rPr>
              <w:t>Post July 2012</w:t>
            </w:r>
          </w:p>
        </w:tc>
        <w:tc>
          <w:tcPr>
            <w:tcW w:w="2050" w:type="dxa"/>
          </w:tcPr>
          <w:p>
            <w:pPr>
              <w:pStyle w:val="TableParagraph"/>
              <w:spacing w:line="227" w:lineRule="exact" w:before="9"/>
              <w:ind w:left="364" w:right="356"/>
              <w:rPr>
                <w:b/>
                <w:sz w:val="20"/>
              </w:rPr>
            </w:pPr>
            <w:r>
              <w:rPr>
                <w:b/>
                <w:sz w:val="20"/>
              </w:rPr>
              <w:t>Pre July 2012</w:t>
            </w:r>
          </w:p>
        </w:tc>
        <w:tc>
          <w:tcPr>
            <w:tcW w:w="2336" w:type="dxa"/>
          </w:tcPr>
          <w:p>
            <w:pPr>
              <w:pStyle w:val="TableParagraph"/>
              <w:spacing w:line="227" w:lineRule="exact" w:before="9"/>
              <w:ind w:left="450" w:right="445"/>
              <w:rPr>
                <w:b/>
                <w:sz w:val="20"/>
              </w:rPr>
            </w:pPr>
            <w:r>
              <w:rPr>
                <w:b/>
                <w:sz w:val="20"/>
              </w:rPr>
              <w:t>Post July 2012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8528.72.00/21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8528.72.00/87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8528.72.00/47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8528.72.00/88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8528.72.00/48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8528.72.00/89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8528.72.00/49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8528.72.00/90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8528.72.00/59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8528.72.00/91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8528.72.00/60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8528.72.00/81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8528.72.00/82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8528.72.00/22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8528.72.00/83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8528.72.00/82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8528.72.00/84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8528.72.00/85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8528.72.00/85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8528.72.00/61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8528.72.00/87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8528.72.00/87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8528.72.00/88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8528.72.00/88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8528.72.00/89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8528.72.00/89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8528.72.00/90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8528.72.00/90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8528.72.00/91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8528.72.00/92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8528.72.00/62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8528.72.00/40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8528.72.00/41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8528.72.00/84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8528.72.00/25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8528.72.00/85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8528.72.00/26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8528.72.00/86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8528.72.00/42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8528.72.00/87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8528.72.00/43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8528.72.00.88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8528.72.00/44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8528.72.00/89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8528.72.00/45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8528.72.00/90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5"/>
              <w:rPr>
                <w:sz w:val="20"/>
              </w:rPr>
            </w:pPr>
            <w:r>
              <w:rPr>
                <w:sz w:val="20"/>
              </w:rPr>
              <w:t>8528.72.00/46</w:t>
            </w: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8528.72.00/23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8528.72.00/91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8528.72.00/24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8528.72.00/92</w:t>
            </w:r>
          </w:p>
        </w:tc>
      </w:tr>
      <w:tr>
        <w:trPr>
          <w:trHeight w:val="253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8528.72.00/25</w:t>
            </w:r>
          </w:p>
        </w:tc>
        <w:tc>
          <w:tcPr>
            <w:tcW w:w="2050" w:type="dxa"/>
          </w:tcPr>
          <w:p>
            <w:pPr>
              <w:pStyle w:val="TableParagraph"/>
              <w:spacing w:line="222" w:lineRule="exact"/>
              <w:ind w:left="364" w:right="356"/>
              <w:rPr>
                <w:sz w:val="20"/>
              </w:rPr>
            </w:pPr>
            <w:r>
              <w:rPr>
                <w:sz w:val="20"/>
              </w:rPr>
              <w:t>8528.72.00/80</w:t>
            </w:r>
          </w:p>
        </w:tc>
        <w:tc>
          <w:tcPr>
            <w:tcW w:w="2336" w:type="dxa"/>
          </w:tcPr>
          <w:p>
            <w:pPr>
              <w:pStyle w:val="TableParagraph"/>
              <w:spacing w:line="222" w:lineRule="exact"/>
              <w:ind w:left="450" w:right="445"/>
              <w:rPr>
                <w:sz w:val="20"/>
              </w:rPr>
            </w:pPr>
            <w:r>
              <w:rPr>
                <w:sz w:val="20"/>
              </w:rPr>
              <w:t>8528.72.00/93</w:t>
            </w:r>
          </w:p>
        </w:tc>
      </w:tr>
      <w:tr>
        <w:trPr>
          <w:trHeight w:val="256" w:hRule="atLeast"/>
        </w:trPr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</w:tcPr>
          <w:p>
            <w:pPr>
              <w:pStyle w:val="TableParagraph"/>
              <w:spacing w:line="222" w:lineRule="exact"/>
              <w:ind w:left="393" w:right="387"/>
              <w:rPr>
                <w:sz w:val="20"/>
              </w:rPr>
            </w:pPr>
            <w:r>
              <w:rPr>
                <w:sz w:val="20"/>
              </w:rPr>
              <w:t>8528.72.00/26</w:t>
            </w:r>
          </w:p>
        </w:tc>
        <w:tc>
          <w:tcPr>
            <w:tcW w:w="205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336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sectPr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23"/>
      <w:ind w:right="1533"/>
      <w:outlineLvl w:val="1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customs.gov.au/" TargetMode="External"/><Relationship Id="rId7" Type="http://schemas.openxmlformats.org/officeDocument/2006/relationships/hyperlink" Target="http://www.customs.gov.au/tariff/tariff2012.asp" TargetMode="External"/><Relationship Id="rId8" Type="http://schemas.openxmlformats.org/officeDocument/2006/relationships/hyperlink" Target="mailto:cargosupport@customs.gov.au" TargetMode="External"/><Relationship Id="rId9" Type="http://schemas.openxmlformats.org/officeDocument/2006/relationships/hyperlink" Target="mailto:international.trade@ab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ACN Statistical Code Changes for July 2012c.doc</dc:title>
  <dcterms:created xsi:type="dcterms:W3CDTF">2020-12-09T22:35:34Z</dcterms:created>
  <dcterms:modified xsi:type="dcterms:W3CDTF">2020-12-09T22:35:34Z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