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7"/>
        </w:rPr>
      </w:pPr>
    </w:p>
    <w:p>
      <w:pPr>
        <w:pStyle w:val="Title"/>
        <w:rPr>
          <w:u w:val="none"/>
        </w:rPr>
      </w:pPr>
      <w:r>
        <w:rPr>
          <w:u w:val="thick"/>
        </w:rPr>
        <w:t>CUSTOMS AND BORDER PROTECTION NOTICE No. 2012/40</w:t>
      </w:r>
    </w:p>
    <w:p>
      <w:pPr>
        <w:pStyle w:val="BodyText"/>
        <w:spacing w:before="4"/>
        <w:rPr>
          <w:b/>
          <w:sz w:val="21"/>
        </w:rPr>
      </w:pPr>
    </w:p>
    <w:p>
      <w:pPr>
        <w:spacing w:before="55"/>
        <w:ind w:left="1729" w:right="1744" w:firstLine="0"/>
        <w:jc w:val="center"/>
        <w:rPr>
          <w:b/>
          <w:sz w:val="24"/>
        </w:rPr>
      </w:pPr>
      <w:r>
        <w:rPr>
          <w:b/>
          <w:sz w:val="24"/>
        </w:rPr>
        <w:t>Luxury Car Tax Threshold and Fuel Efficient Vehicle Limit – Changes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35" w:lineRule="auto"/>
        <w:ind w:left="1521" w:right="2178"/>
      </w:pPr>
      <w:r>
        <w:rPr/>
        <w:t>This notice is to advise of the recent increase in the luxury car tax (LCT) threshold for the 2012-13 financial year.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1"/>
      </w:pPr>
      <w:r>
        <w:rPr/>
        <w:t>The Australian Taxation Office has determined that from 1 July 2012 the following are effective: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67" w:val="left" w:leader="none"/>
          <w:tab w:pos="5841" w:val="left" w:leader="none"/>
        </w:tabs>
        <w:spacing w:line="233" w:lineRule="exact" w:before="1" w:after="0"/>
        <w:ind w:left="2366" w:right="0" w:hanging="126"/>
        <w:jc w:val="left"/>
        <w:rPr>
          <w:sz w:val="20"/>
        </w:rPr>
      </w:pPr>
      <w:r>
        <w:rPr>
          <w:sz w:val="20"/>
        </w:rPr>
        <w:t>LCT</w:t>
      </w:r>
      <w:r>
        <w:rPr>
          <w:spacing w:val="-1"/>
          <w:sz w:val="20"/>
        </w:rPr>
        <w:t> </w:t>
      </w:r>
      <w:r>
        <w:rPr>
          <w:sz w:val="20"/>
        </w:rPr>
        <w:t>Threshold</w:t>
        <w:tab/>
        <w:t>$59,133 (increased from</w:t>
      </w:r>
      <w:r>
        <w:rPr>
          <w:spacing w:val="1"/>
          <w:sz w:val="20"/>
        </w:rPr>
        <w:t> </w:t>
      </w:r>
      <w:r>
        <w:rPr>
          <w:sz w:val="20"/>
        </w:rPr>
        <w:t>$57,466)</w:t>
      </w:r>
    </w:p>
    <w:p>
      <w:pPr>
        <w:pStyle w:val="ListParagraph"/>
        <w:numPr>
          <w:ilvl w:val="0"/>
          <w:numId w:val="1"/>
        </w:numPr>
        <w:tabs>
          <w:tab w:pos="2367" w:val="left" w:leader="none"/>
          <w:tab w:pos="5841" w:val="left" w:leader="none"/>
        </w:tabs>
        <w:spacing w:line="233" w:lineRule="exact" w:before="0" w:after="0"/>
        <w:ind w:left="2366" w:right="0" w:hanging="126"/>
        <w:jc w:val="left"/>
        <w:rPr>
          <w:sz w:val="20"/>
        </w:rPr>
      </w:pPr>
      <w:r>
        <w:rPr>
          <w:sz w:val="20"/>
        </w:rPr>
        <w:t>Fuel efficient</w:t>
      </w:r>
      <w:r>
        <w:rPr>
          <w:spacing w:val="-3"/>
          <w:sz w:val="20"/>
        </w:rPr>
        <w:t> </w:t>
      </w:r>
      <w:r>
        <w:rPr>
          <w:sz w:val="20"/>
        </w:rPr>
        <w:t>vehicle</w:t>
      </w:r>
      <w:r>
        <w:rPr>
          <w:spacing w:val="-1"/>
          <w:sz w:val="20"/>
        </w:rPr>
        <w:t> </w:t>
      </w:r>
      <w:r>
        <w:rPr>
          <w:sz w:val="20"/>
        </w:rPr>
        <w:t>limit</w:t>
        <w:tab/>
        <w:t>$75,375</w:t>
      </w:r>
      <w:r>
        <w:rPr>
          <w:spacing w:val="-1"/>
          <w:sz w:val="20"/>
        </w:rPr>
        <w:t> </w:t>
      </w:r>
      <w:r>
        <w:rPr>
          <w:sz w:val="20"/>
        </w:rPr>
        <w:t>(unchanged)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521" w:right="2203"/>
      </w:pPr>
      <w:r>
        <w:rPr/>
        <w:t>The increased LCT threshold limit advised in this notice supersedes that advised in ACN 2010/40.</w:t>
      </w:r>
    </w:p>
    <w:p>
      <w:pPr>
        <w:pStyle w:val="BodyText"/>
        <w:spacing w:line="460" w:lineRule="atLeast" w:before="2"/>
        <w:ind w:left="1521" w:right="2178"/>
      </w:pPr>
      <w:r>
        <w:rPr/>
        <w:t>The Integrated Cargo System (ICS) has been amended to reflect the threshold increase. Further information on:</w:t>
      </w:r>
    </w:p>
    <w:p>
      <w:pPr>
        <w:pStyle w:val="ListParagraph"/>
        <w:numPr>
          <w:ilvl w:val="0"/>
          <w:numId w:val="1"/>
        </w:numPr>
        <w:tabs>
          <w:tab w:pos="2367" w:val="left" w:leader="none"/>
        </w:tabs>
        <w:spacing w:line="226" w:lineRule="exact" w:before="0" w:after="0"/>
        <w:ind w:left="2366" w:right="0" w:hanging="126"/>
        <w:jc w:val="left"/>
        <w:rPr>
          <w:sz w:val="20"/>
        </w:rPr>
      </w:pPr>
      <w:r>
        <w:rPr>
          <w:sz w:val="20"/>
        </w:rPr>
        <w:t>fuel efficient cars is available from:</w:t>
      </w:r>
      <w:r>
        <w:rPr>
          <w:color w:val="0000FF"/>
          <w:spacing w:val="-5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www.infrastructure.gov.au</w:t>
        </w:r>
      </w:hyperlink>
    </w:p>
    <w:p>
      <w:pPr>
        <w:pStyle w:val="ListParagraph"/>
        <w:numPr>
          <w:ilvl w:val="0"/>
          <w:numId w:val="1"/>
        </w:numPr>
        <w:tabs>
          <w:tab w:pos="2367" w:val="left" w:leader="none"/>
        </w:tabs>
        <w:spacing w:line="230" w:lineRule="exact" w:before="0" w:after="0"/>
        <w:ind w:left="2366" w:right="0" w:hanging="126"/>
        <w:jc w:val="left"/>
        <w:rPr>
          <w:sz w:val="20"/>
        </w:rPr>
      </w:pPr>
      <w:r>
        <w:rPr>
          <w:sz w:val="20"/>
        </w:rPr>
        <w:t>quoting for LCT is available from:</w:t>
      </w:r>
      <w:r>
        <w:rPr>
          <w:color w:val="0000FF"/>
          <w:spacing w:val="-3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www.ato.gov.au</w:t>
        </w:r>
      </w:hyperlink>
    </w:p>
    <w:p>
      <w:pPr>
        <w:pStyle w:val="ListParagraph"/>
        <w:numPr>
          <w:ilvl w:val="0"/>
          <w:numId w:val="1"/>
        </w:numPr>
        <w:tabs>
          <w:tab w:pos="2367" w:val="left" w:leader="none"/>
        </w:tabs>
        <w:spacing w:line="233" w:lineRule="exact" w:before="0" w:after="0"/>
        <w:ind w:left="2366" w:right="0" w:hanging="126"/>
        <w:jc w:val="left"/>
        <w:rPr>
          <w:sz w:val="20"/>
        </w:rPr>
      </w:pPr>
      <w:r>
        <w:rPr>
          <w:sz w:val="20"/>
        </w:rPr>
        <w:t>exemptions from LCT from:</w:t>
      </w:r>
      <w:r>
        <w:rPr>
          <w:color w:val="0000FF"/>
          <w:spacing w:val="1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www.customs.gov.au</w:t>
        </w:r>
      </w:hyperlink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2" w:lineRule="auto" w:before="71"/>
        <w:ind w:left="1521" w:right="1559"/>
      </w:pPr>
      <w:r>
        <w:rPr/>
        <w:t>For queries concerning this CBPN, please contact the Customs Information and Support Centre on 1300 363 263.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521"/>
      </w:pPr>
      <w:r>
        <w:rPr/>
        <w:t>(Signed)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521" w:right="8345"/>
      </w:pPr>
      <w:r>
        <w:rPr/>
        <w:t>Geoffrey</w:t>
      </w:r>
      <w:r>
        <w:rPr>
          <w:spacing w:val="-16"/>
        </w:rPr>
        <w:t> </w:t>
      </w:r>
      <w:r>
        <w:rPr/>
        <w:t>Johannes National</w:t>
      </w:r>
      <w:r>
        <w:rPr>
          <w:spacing w:val="-5"/>
        </w:rPr>
        <w:t> </w:t>
      </w:r>
      <w:r>
        <w:rPr/>
        <w:t>Manager</w:t>
      </w:r>
    </w:p>
    <w:p>
      <w:pPr>
        <w:pStyle w:val="BodyText"/>
        <w:spacing w:line="235" w:lineRule="auto"/>
        <w:ind w:left="1521" w:right="5355"/>
      </w:pPr>
      <w:r>
        <w:rPr/>
        <w:t>Trade Policy and Implementation</w:t>
      </w:r>
      <w:r>
        <w:rPr>
          <w:spacing w:val="-21"/>
        </w:rPr>
        <w:t> </w:t>
      </w:r>
      <w:r>
        <w:rPr/>
        <w:t>Branch CANBERRA ACT</w:t>
      </w:r>
    </w:p>
    <w:p>
      <w:pPr>
        <w:pStyle w:val="BodyText"/>
        <w:spacing w:line="231" w:lineRule="exact"/>
        <w:ind w:left="1521"/>
      </w:pPr>
      <w:r>
        <w:rPr/>
        <w:t>2 July 2012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66" w:hanging="125"/>
      </w:pPr>
      <w:rPr>
        <w:rFonts w:hint="default" w:ascii="Helvetica" w:hAnsi="Helvetica" w:eastAsia="Helvetica" w:cs="Helvetica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280" w:hanging="1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0" w:hanging="1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20" w:hanging="1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0" w:hanging="1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60" w:hanging="1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0" w:hanging="1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00" w:hanging="1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20" w:hanging="1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48"/>
      <w:ind w:left="1731" w:right="1744"/>
      <w:jc w:val="center"/>
    </w:pPr>
    <w:rPr>
      <w:rFonts w:ascii="Helvetica" w:hAnsi="Helvetica" w:eastAsia="Helvetica" w:cs="Helvetica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2366" w:hanging="126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nfrastructure.gov.au/" TargetMode="External"/><Relationship Id="rId7" Type="http://schemas.openxmlformats.org/officeDocument/2006/relationships/hyperlink" Target="http://www.ato.gov.au/" TargetMode="External"/><Relationship Id="rId8" Type="http://schemas.openxmlformats.org/officeDocument/2006/relationships/hyperlink" Target="http://www.customs.gov.a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c8cbe</dc:creator>
  <dc:title>Microsoft Word - ACN2012-40.doc</dc:title>
  <dcterms:created xsi:type="dcterms:W3CDTF">2020-12-09T22:21:42Z</dcterms:created>
  <dcterms:modified xsi:type="dcterms:W3CDTF">2020-12-09T22:21:42Z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