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ge;z-index:-15757824" from="13.450832pt,132.075378pt" to="579.826949pt,132.075378pt" stroked="true" strokeweight="6.963974pt" strokecolor="#000000">
            <v:stroke dashstyle="solid"/>
            <w10:wrap type="none"/>
          </v:line>
        </w:pict>
      </w:r>
    </w:p>
    <w:p>
      <w:pPr>
        <w:pStyle w:val="Title"/>
      </w:pPr>
      <w:r>
        <w:rPr/>
        <w:pict>
          <v:shape style="position:absolute;margin-left:129.704453pt;margin-top:23.953953pt;width:131.9pt;height:.1pt;mso-position-horizontal-relative:page;mso-position-vertical-relative:paragraph;z-index:-15728640;mso-wrap-distance-left:0;mso-wrap-distance-right:0" coordorigin="2594,479" coordsize="2638,0" path="m2594,479l5231,479e" filled="false" stroked="true" strokeweight=".48027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707706</wp:posOffset>
            </wp:positionH>
            <wp:positionV relativeFrom="paragraph">
              <wp:posOffset>-101400</wp:posOffset>
            </wp:positionV>
            <wp:extent cx="878531" cy="64654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1" cy="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648A"/>
          <w:w w:val="90"/>
        </w:rPr>
        <w:t>Australian</w:t>
      </w:r>
      <w:r>
        <w:rPr>
          <w:color w:val="5E648A"/>
          <w:spacing w:val="9"/>
          <w:w w:val="90"/>
        </w:rPr>
        <w:t> </w:t>
      </w:r>
      <w:r>
        <w:rPr>
          <w:color w:val="5E648A"/>
          <w:w w:val="90"/>
        </w:rPr>
        <w:t>Government</w:t>
      </w:r>
    </w:p>
    <w:p>
      <w:pPr>
        <w:spacing w:line="256" w:lineRule="auto" w:before="30"/>
        <w:ind w:left="1612" w:right="5352" w:hanging="2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5E648A"/>
          <w:sz w:val="25"/>
        </w:rPr>
        <w:t>Australian Customs and </w:t>
      </w:r>
      <w:r>
        <w:rPr>
          <w:rFonts w:ascii="Times New Roman"/>
          <w:b/>
          <w:color w:val="5E648A"/>
          <w:w w:val="95"/>
          <w:sz w:val="25"/>
        </w:rPr>
        <w:t>Border</w:t>
      </w:r>
      <w:r>
        <w:rPr>
          <w:rFonts w:ascii="Times New Roman"/>
          <w:b/>
          <w:color w:val="5E648A"/>
          <w:spacing w:val="-28"/>
          <w:w w:val="95"/>
          <w:sz w:val="25"/>
        </w:rPr>
        <w:t> </w:t>
      </w:r>
      <w:r>
        <w:rPr>
          <w:rFonts w:ascii="Times New Roman"/>
          <w:b/>
          <w:color w:val="5E648A"/>
          <w:w w:val="95"/>
          <w:sz w:val="25"/>
        </w:rPr>
        <w:t>Protection</w:t>
      </w:r>
      <w:r>
        <w:rPr>
          <w:rFonts w:ascii="Times New Roman"/>
          <w:b/>
          <w:color w:val="5E648A"/>
          <w:spacing w:val="-24"/>
          <w:w w:val="95"/>
          <w:sz w:val="25"/>
        </w:rPr>
        <w:t> </w:t>
      </w:r>
      <w:r>
        <w:rPr>
          <w:rFonts w:ascii="Times New Roman"/>
          <w:b/>
          <w:color w:val="5E648A"/>
          <w:w w:val="95"/>
          <w:sz w:val="25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line="249" w:lineRule="auto" w:before="217" w:after="19"/>
        <w:ind w:left="4130" w:right="505" w:hanging="3348"/>
        <w:jc w:val="left"/>
        <w:rPr>
          <w:b/>
          <w:sz w:val="27"/>
        </w:rPr>
      </w:pPr>
      <w:r>
        <w:rPr>
          <w:b/>
          <w:color w:val="232B34"/>
          <w:sz w:val="27"/>
        </w:rPr>
        <w:t>AUSTRALIAN CUSTOMS AND BORDER PROTECTION </w:t>
      </w:r>
      <w:r>
        <w:rPr>
          <w:b/>
          <w:color w:val="363F42"/>
          <w:sz w:val="27"/>
        </w:rPr>
        <w:t>NOTICE </w:t>
      </w:r>
      <w:r>
        <w:rPr>
          <w:b/>
          <w:color w:val="232B34"/>
          <w:sz w:val="27"/>
        </w:rPr>
        <w:t>NO. 2012/47</w:t>
      </w:r>
    </w:p>
    <w:p>
      <w:pPr>
        <w:pStyle w:val="BodyText"/>
        <w:spacing w:line="20" w:lineRule="exact"/>
        <w:ind w:left="647"/>
        <w:rPr>
          <w:sz w:val="2"/>
        </w:rPr>
      </w:pPr>
      <w:r>
        <w:rPr>
          <w:sz w:val="2"/>
        </w:rPr>
        <w:pict>
          <v:group style="width:427.1pt;height:.5pt;mso-position-horizontal-relative:char;mso-position-vertical-relative:line" coordorigin="0,0" coordsize="8542,10">
            <v:line style="position:absolute" from="0,5" to="8541,5" stroked="true" strokeweight=".48027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24"/>
        </w:rPr>
      </w:pPr>
    </w:p>
    <w:p>
      <w:pPr>
        <w:spacing w:line="249" w:lineRule="auto" w:before="0"/>
        <w:ind w:left="680" w:right="0" w:firstLine="2"/>
        <w:jc w:val="left"/>
        <w:rPr>
          <w:b/>
          <w:sz w:val="27"/>
        </w:rPr>
      </w:pPr>
      <w:r>
        <w:rPr>
          <w:b/>
          <w:color w:val="232B34"/>
          <w:sz w:val="27"/>
        </w:rPr>
        <w:t>Customs (Prohibited Imports) Amendment Regulation </w:t>
      </w:r>
      <w:r>
        <w:rPr>
          <w:b/>
          <w:color w:val="363F42"/>
          <w:sz w:val="27"/>
        </w:rPr>
        <w:t>2012 (No. 2) </w:t>
      </w:r>
      <w:r>
        <w:rPr>
          <w:b/>
          <w:color w:val="232B34"/>
          <w:sz w:val="27"/>
        </w:rPr>
        <w:t>Changes to Weapons Import Requirements </w:t>
      </w:r>
      <w:r>
        <w:rPr>
          <w:b/>
          <w:color w:val="363F42"/>
          <w:sz w:val="27"/>
        </w:rPr>
        <w:t>and </w:t>
      </w:r>
      <w:r>
        <w:rPr>
          <w:b/>
          <w:color w:val="232B34"/>
          <w:sz w:val="27"/>
        </w:rPr>
        <w:t>Regulation </w:t>
      </w:r>
      <w:r>
        <w:rPr>
          <w:b/>
          <w:color w:val="363F42"/>
          <w:sz w:val="27"/>
        </w:rPr>
        <w:t>4F </w:t>
      </w:r>
      <w:r>
        <w:rPr>
          <w:b/>
          <w:color w:val="232B34"/>
          <w:sz w:val="27"/>
        </w:rPr>
        <w:t>Definitions</w:t>
      </w:r>
    </w:p>
    <w:p>
      <w:pPr>
        <w:pStyle w:val="BodyText"/>
        <w:spacing w:before="2"/>
        <w:rPr>
          <w:b/>
          <w:sz w:val="44"/>
        </w:rPr>
      </w:pPr>
    </w:p>
    <w:p>
      <w:pPr>
        <w:pStyle w:val="BodyText"/>
        <w:spacing w:line="266" w:lineRule="auto" w:before="1"/>
        <w:ind w:left="674" w:right="505" w:firstLine="7"/>
      </w:pPr>
      <w:r>
        <w:rPr>
          <w:color w:val="363F42"/>
          <w:w w:val="110"/>
        </w:rPr>
        <w:t>New regulations in place from 21 August 2012 introduce minor amendments to the Customs </w:t>
      </w:r>
      <w:r>
        <w:rPr>
          <w:i/>
          <w:color w:val="363F42"/>
          <w:w w:val="110"/>
          <w:sz w:val="19"/>
        </w:rPr>
        <w:t>(Prohibited</w:t>
      </w:r>
      <w:r>
        <w:rPr>
          <w:i/>
          <w:color w:val="363F42"/>
          <w:spacing w:val="-16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Imports)</w:t>
      </w:r>
      <w:r>
        <w:rPr>
          <w:i/>
          <w:color w:val="363F42"/>
          <w:spacing w:val="-20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Regulations</w:t>
      </w:r>
      <w:r>
        <w:rPr>
          <w:i/>
          <w:color w:val="363F42"/>
          <w:spacing w:val="-10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1956</w:t>
      </w:r>
      <w:r>
        <w:rPr>
          <w:i/>
          <w:color w:val="363F42"/>
          <w:spacing w:val="-28"/>
          <w:w w:val="110"/>
          <w:sz w:val="19"/>
        </w:rPr>
        <w:t> </w:t>
      </w:r>
      <w:r>
        <w:rPr>
          <w:color w:val="363F42"/>
          <w:w w:val="110"/>
        </w:rPr>
        <w:t>(the</w:t>
      </w:r>
      <w:r>
        <w:rPr>
          <w:color w:val="363F42"/>
          <w:spacing w:val="-20"/>
          <w:w w:val="110"/>
        </w:rPr>
        <w:t> </w:t>
      </w:r>
      <w:r>
        <w:rPr>
          <w:color w:val="363F42"/>
          <w:w w:val="110"/>
        </w:rPr>
        <w:t>Regulations)</w:t>
      </w:r>
      <w:r>
        <w:rPr>
          <w:color w:val="363F42"/>
          <w:spacing w:val="-12"/>
          <w:w w:val="110"/>
        </w:rPr>
        <w:t> </w:t>
      </w:r>
      <w:r>
        <w:rPr>
          <w:color w:val="363F42"/>
          <w:w w:val="110"/>
        </w:rPr>
        <w:t>regarding</w:t>
      </w:r>
      <w:r>
        <w:rPr>
          <w:color w:val="363F42"/>
          <w:spacing w:val="-16"/>
          <w:w w:val="110"/>
        </w:rPr>
        <w:t> </w:t>
      </w:r>
      <w:r>
        <w:rPr>
          <w:color w:val="363F42"/>
          <w:w w:val="110"/>
        </w:rPr>
        <w:t>the</w:t>
      </w:r>
      <w:r>
        <w:rPr>
          <w:color w:val="363F42"/>
          <w:spacing w:val="-25"/>
          <w:w w:val="110"/>
        </w:rPr>
        <w:t> </w:t>
      </w:r>
      <w:r>
        <w:rPr>
          <w:color w:val="363F42"/>
          <w:w w:val="110"/>
        </w:rPr>
        <w:t>legitimate</w:t>
      </w:r>
      <w:r>
        <w:rPr>
          <w:color w:val="363F42"/>
          <w:spacing w:val="-17"/>
          <w:w w:val="110"/>
        </w:rPr>
        <w:t> </w:t>
      </w:r>
      <w:r>
        <w:rPr>
          <w:color w:val="363F42"/>
          <w:w w:val="110"/>
        </w:rPr>
        <w:t>end-users</w:t>
      </w:r>
      <w:r>
        <w:rPr>
          <w:color w:val="363F42"/>
          <w:spacing w:val="-17"/>
          <w:w w:val="110"/>
        </w:rPr>
        <w:t> </w:t>
      </w:r>
      <w:r>
        <w:rPr>
          <w:color w:val="363F42"/>
          <w:w w:val="110"/>
        </w:rPr>
        <w:t>for some weapons</w:t>
      </w:r>
      <w:r>
        <w:rPr>
          <w:color w:val="363F42"/>
          <w:spacing w:val="21"/>
          <w:w w:val="110"/>
        </w:rPr>
        <w:t> </w:t>
      </w:r>
      <w:r>
        <w:rPr>
          <w:color w:val="363F42"/>
          <w:w w:val="110"/>
        </w:rPr>
        <w:t>items</w:t>
      </w:r>
      <w:r>
        <w:rPr>
          <w:color w:val="54575B"/>
          <w:w w:val="110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66" w:lineRule="auto"/>
        <w:ind w:left="679" w:right="505" w:firstLine="2"/>
      </w:pPr>
      <w:r>
        <w:rPr>
          <w:color w:val="363F42"/>
          <w:w w:val="110"/>
        </w:rPr>
        <w:t>The change does not affect Customs and Border Protection </w:t>
      </w:r>
      <w:r>
        <w:rPr>
          <w:color w:val="54575B"/>
          <w:w w:val="110"/>
        </w:rPr>
        <w:t>'</w:t>
      </w:r>
      <w:r>
        <w:rPr>
          <w:color w:val="363F42"/>
          <w:w w:val="110"/>
        </w:rPr>
        <w:t>s current intervention activity at the border-the same range of weapons are still subject to import controls</w:t>
      </w:r>
      <w:r>
        <w:rPr>
          <w:color w:val="646969"/>
          <w:w w:val="110"/>
        </w:rPr>
        <w:t>. </w:t>
      </w:r>
      <w:r>
        <w:rPr>
          <w:color w:val="363F42"/>
          <w:w w:val="110"/>
        </w:rPr>
        <w:t>However</w:t>
      </w:r>
      <w:r>
        <w:rPr>
          <w:color w:val="54575B"/>
          <w:w w:val="110"/>
        </w:rPr>
        <w:t>, </w:t>
      </w:r>
      <w:r>
        <w:rPr>
          <w:color w:val="363F42"/>
          <w:w w:val="110"/>
        </w:rPr>
        <w:t>the regulation amendment expands the legitimate users for body armour and extendable batons within the </w:t>
      </w:r>
      <w:r>
        <w:rPr>
          <w:color w:val="646969"/>
          <w:w w:val="110"/>
        </w:rPr>
        <w:t>'</w:t>
      </w:r>
      <w:r>
        <w:rPr>
          <w:color w:val="363F42"/>
          <w:w w:val="110"/>
        </w:rPr>
        <w:t>specified person test' to include licensed retailers for sale to licensed end-users</w:t>
      </w:r>
      <w:r>
        <w:rPr>
          <w:color w:val="646969"/>
          <w:w w:val="110"/>
        </w:rPr>
        <w:t>.</w:t>
      </w:r>
    </w:p>
    <w:p>
      <w:pPr>
        <w:pStyle w:val="BodyText"/>
        <w:spacing w:before="7"/>
      </w:pPr>
    </w:p>
    <w:p>
      <w:pPr>
        <w:spacing w:line="261" w:lineRule="auto" w:before="1"/>
        <w:ind w:left="674" w:right="513" w:firstLine="7"/>
        <w:jc w:val="left"/>
        <w:rPr>
          <w:sz w:val="18"/>
        </w:rPr>
      </w:pPr>
      <w:r>
        <w:rPr>
          <w:color w:val="363F42"/>
          <w:w w:val="110"/>
          <w:sz w:val="18"/>
        </w:rPr>
        <w:t>The definitions of </w:t>
      </w:r>
      <w:r>
        <w:rPr>
          <w:i/>
          <w:color w:val="363F42"/>
          <w:w w:val="110"/>
          <w:sz w:val="19"/>
        </w:rPr>
        <w:t>firearm </w:t>
      </w:r>
      <w:r>
        <w:rPr>
          <w:color w:val="363F42"/>
          <w:w w:val="110"/>
          <w:sz w:val="18"/>
        </w:rPr>
        <w:t>accessory </w:t>
      </w:r>
      <w:r>
        <w:rPr>
          <w:color w:val="54575B"/>
          <w:w w:val="110"/>
          <w:sz w:val="18"/>
        </w:rPr>
        <w:t>, </w:t>
      </w:r>
      <w:r>
        <w:rPr>
          <w:i/>
          <w:color w:val="363F42"/>
          <w:w w:val="110"/>
          <w:sz w:val="19"/>
        </w:rPr>
        <w:t>firearm magazine </w:t>
      </w:r>
      <w:r>
        <w:rPr>
          <w:color w:val="363F42"/>
          <w:w w:val="110"/>
          <w:sz w:val="18"/>
        </w:rPr>
        <w:t>and </w:t>
      </w:r>
      <w:r>
        <w:rPr>
          <w:i/>
          <w:color w:val="363F42"/>
          <w:w w:val="110"/>
          <w:sz w:val="19"/>
        </w:rPr>
        <w:t>firearm part </w:t>
      </w:r>
      <w:r>
        <w:rPr>
          <w:color w:val="363F42"/>
          <w:w w:val="110"/>
          <w:sz w:val="18"/>
        </w:rPr>
        <w:t>within 4F to the Regulations have also been amended to clarify the current operation of the controls on these items</w:t>
      </w:r>
      <w:r>
        <w:rPr>
          <w:color w:val="646969"/>
          <w:w w:val="110"/>
          <w:sz w:val="18"/>
        </w:rPr>
        <w:t>.</w:t>
      </w:r>
      <w:r>
        <w:rPr>
          <w:color w:val="646969"/>
          <w:spacing w:val="42"/>
          <w:w w:val="110"/>
          <w:sz w:val="18"/>
        </w:rPr>
        <w:t> </w:t>
      </w:r>
      <w:r>
        <w:rPr>
          <w:color w:val="363F42"/>
          <w:w w:val="110"/>
          <w:sz w:val="18"/>
        </w:rPr>
        <w:t>The</w:t>
      </w:r>
      <w:r>
        <w:rPr>
          <w:color w:val="363F42"/>
          <w:spacing w:val="-10"/>
          <w:w w:val="110"/>
          <w:sz w:val="18"/>
        </w:rPr>
        <w:t> </w:t>
      </w:r>
      <w:r>
        <w:rPr>
          <w:color w:val="363F42"/>
          <w:w w:val="110"/>
          <w:sz w:val="18"/>
        </w:rPr>
        <w:t>amendment</w:t>
      </w:r>
      <w:r>
        <w:rPr>
          <w:color w:val="363F42"/>
          <w:spacing w:val="1"/>
          <w:w w:val="110"/>
          <w:sz w:val="18"/>
        </w:rPr>
        <w:t> </w:t>
      </w:r>
      <w:r>
        <w:rPr>
          <w:color w:val="363F42"/>
          <w:w w:val="110"/>
          <w:sz w:val="18"/>
        </w:rPr>
        <w:t>confirms</w:t>
      </w:r>
      <w:r>
        <w:rPr>
          <w:color w:val="363F42"/>
          <w:spacing w:val="2"/>
          <w:w w:val="110"/>
          <w:sz w:val="18"/>
        </w:rPr>
        <w:t> </w:t>
      </w:r>
      <w:r>
        <w:rPr>
          <w:color w:val="363F42"/>
          <w:w w:val="110"/>
          <w:sz w:val="18"/>
        </w:rPr>
        <w:t>that</w:t>
      </w:r>
      <w:r>
        <w:rPr>
          <w:color w:val="363F42"/>
          <w:spacing w:val="-5"/>
          <w:w w:val="110"/>
          <w:sz w:val="18"/>
        </w:rPr>
        <w:t> </w:t>
      </w:r>
      <w:r>
        <w:rPr>
          <w:color w:val="363F42"/>
          <w:w w:val="110"/>
          <w:sz w:val="18"/>
        </w:rPr>
        <w:t>these</w:t>
      </w:r>
      <w:r>
        <w:rPr>
          <w:color w:val="363F42"/>
          <w:spacing w:val="-6"/>
          <w:w w:val="110"/>
          <w:sz w:val="18"/>
        </w:rPr>
        <w:t> </w:t>
      </w:r>
      <w:r>
        <w:rPr>
          <w:color w:val="363F42"/>
          <w:w w:val="110"/>
          <w:sz w:val="18"/>
        </w:rPr>
        <w:t>goods </w:t>
      </w:r>
      <w:r>
        <w:rPr>
          <w:color w:val="232B34"/>
          <w:w w:val="110"/>
          <w:sz w:val="18"/>
        </w:rPr>
        <w:t>will</w:t>
      </w:r>
      <w:r>
        <w:rPr>
          <w:color w:val="232B34"/>
          <w:spacing w:val="-10"/>
          <w:w w:val="110"/>
          <w:sz w:val="18"/>
        </w:rPr>
        <w:t> </w:t>
      </w:r>
      <w:r>
        <w:rPr>
          <w:color w:val="363F42"/>
          <w:w w:val="110"/>
          <w:sz w:val="18"/>
        </w:rPr>
        <w:t>continue</w:t>
      </w:r>
      <w:r>
        <w:rPr>
          <w:color w:val="363F42"/>
          <w:spacing w:val="-1"/>
          <w:w w:val="110"/>
          <w:sz w:val="18"/>
        </w:rPr>
        <w:t> </w:t>
      </w:r>
      <w:r>
        <w:rPr>
          <w:color w:val="363F42"/>
          <w:w w:val="110"/>
          <w:sz w:val="18"/>
        </w:rPr>
        <w:t>to</w:t>
      </w:r>
      <w:r>
        <w:rPr>
          <w:color w:val="363F42"/>
          <w:spacing w:val="-6"/>
          <w:w w:val="110"/>
          <w:sz w:val="18"/>
        </w:rPr>
        <w:t> </w:t>
      </w:r>
      <w:r>
        <w:rPr>
          <w:color w:val="363F42"/>
          <w:w w:val="110"/>
          <w:sz w:val="18"/>
        </w:rPr>
        <w:t>be</w:t>
      </w:r>
      <w:r>
        <w:rPr>
          <w:color w:val="363F42"/>
          <w:spacing w:val="-8"/>
          <w:w w:val="110"/>
          <w:sz w:val="18"/>
        </w:rPr>
        <w:t> </w:t>
      </w:r>
      <w:r>
        <w:rPr>
          <w:color w:val="363F42"/>
          <w:w w:val="110"/>
          <w:sz w:val="18"/>
        </w:rPr>
        <w:t>controlled</w:t>
      </w:r>
      <w:r>
        <w:rPr>
          <w:color w:val="363F42"/>
          <w:spacing w:val="-14"/>
          <w:w w:val="110"/>
          <w:sz w:val="18"/>
        </w:rPr>
        <w:t> </w:t>
      </w:r>
      <w:r>
        <w:rPr>
          <w:i/>
          <w:color w:val="54575B"/>
          <w:w w:val="110"/>
          <w:sz w:val="19"/>
        </w:rPr>
        <w:t>'</w:t>
      </w:r>
      <w:r>
        <w:rPr>
          <w:i/>
          <w:color w:val="54575B"/>
          <w:spacing w:val="-40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whether</w:t>
      </w:r>
      <w:r>
        <w:rPr>
          <w:i/>
          <w:color w:val="363F42"/>
          <w:spacing w:val="1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or</w:t>
      </w:r>
      <w:r>
        <w:rPr>
          <w:i/>
          <w:color w:val="363F42"/>
          <w:spacing w:val="-8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not complete</w:t>
      </w:r>
      <w:r>
        <w:rPr>
          <w:i/>
          <w:color w:val="54575B"/>
          <w:w w:val="110"/>
          <w:sz w:val="19"/>
        </w:rPr>
        <w:t>,</w:t>
      </w:r>
      <w:r>
        <w:rPr>
          <w:i/>
          <w:color w:val="54575B"/>
          <w:spacing w:val="-28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damaged</w:t>
      </w:r>
      <w:r>
        <w:rPr>
          <w:i/>
          <w:color w:val="363F42"/>
          <w:spacing w:val="-46"/>
          <w:w w:val="110"/>
          <w:sz w:val="19"/>
        </w:rPr>
        <w:t> </w:t>
      </w:r>
      <w:r>
        <w:rPr>
          <w:i/>
          <w:color w:val="646969"/>
          <w:w w:val="110"/>
          <w:sz w:val="19"/>
        </w:rPr>
        <w:t>,</w:t>
      </w:r>
      <w:r>
        <w:rPr>
          <w:i/>
          <w:color w:val="646969"/>
          <w:spacing w:val="-30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temporarily</w:t>
      </w:r>
      <w:r>
        <w:rPr>
          <w:i/>
          <w:color w:val="363F42"/>
          <w:spacing w:val="-18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or</w:t>
      </w:r>
      <w:r>
        <w:rPr>
          <w:i/>
          <w:color w:val="363F42"/>
          <w:spacing w:val="-29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permanently</w:t>
      </w:r>
      <w:r>
        <w:rPr>
          <w:i/>
          <w:color w:val="363F42"/>
          <w:spacing w:val="-19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inoperable</w:t>
      </w:r>
      <w:r>
        <w:rPr>
          <w:i/>
          <w:color w:val="363F42"/>
          <w:spacing w:val="-23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or</w:t>
      </w:r>
      <w:r>
        <w:rPr>
          <w:i/>
          <w:color w:val="363F42"/>
          <w:spacing w:val="-26"/>
          <w:w w:val="110"/>
          <w:sz w:val="19"/>
        </w:rPr>
        <w:t> </w:t>
      </w:r>
      <w:r>
        <w:rPr>
          <w:i/>
          <w:color w:val="363F42"/>
          <w:w w:val="110"/>
          <w:sz w:val="19"/>
        </w:rPr>
        <w:t>unfinished</w:t>
      </w:r>
      <w:r>
        <w:rPr>
          <w:i/>
          <w:color w:val="363F42"/>
          <w:spacing w:val="-48"/>
          <w:w w:val="110"/>
          <w:sz w:val="19"/>
        </w:rPr>
        <w:t> </w:t>
      </w:r>
      <w:r>
        <w:rPr>
          <w:i/>
          <w:color w:val="54575B"/>
          <w:w w:val="110"/>
          <w:sz w:val="19"/>
        </w:rPr>
        <w:t>'</w:t>
      </w:r>
      <w:r>
        <w:rPr>
          <w:i/>
          <w:color w:val="54575B"/>
          <w:spacing w:val="-44"/>
          <w:w w:val="110"/>
          <w:sz w:val="19"/>
        </w:rPr>
        <w:t> </w:t>
      </w:r>
      <w:r>
        <w:rPr>
          <w:i/>
          <w:color w:val="7C7E7E"/>
          <w:w w:val="110"/>
          <w:sz w:val="19"/>
        </w:rPr>
        <w:t>.</w:t>
      </w:r>
      <w:r>
        <w:rPr>
          <w:i/>
          <w:color w:val="7C7E7E"/>
          <w:spacing w:val="1"/>
          <w:w w:val="110"/>
          <w:sz w:val="19"/>
        </w:rPr>
        <w:t> </w:t>
      </w:r>
      <w:r>
        <w:rPr>
          <w:color w:val="363F42"/>
          <w:w w:val="110"/>
          <w:sz w:val="18"/>
        </w:rPr>
        <w:t>The</w:t>
      </w:r>
      <w:r>
        <w:rPr>
          <w:color w:val="363F42"/>
          <w:spacing w:val="-26"/>
          <w:w w:val="110"/>
          <w:sz w:val="18"/>
        </w:rPr>
        <w:t> </w:t>
      </w:r>
      <w:r>
        <w:rPr>
          <w:color w:val="363F42"/>
          <w:w w:val="110"/>
          <w:sz w:val="18"/>
        </w:rPr>
        <w:t>change</w:t>
      </w:r>
      <w:r>
        <w:rPr>
          <w:color w:val="363F42"/>
          <w:spacing w:val="-21"/>
          <w:w w:val="110"/>
          <w:sz w:val="18"/>
        </w:rPr>
        <w:t> </w:t>
      </w:r>
      <w:r>
        <w:rPr>
          <w:color w:val="363F42"/>
          <w:w w:val="110"/>
          <w:sz w:val="18"/>
        </w:rPr>
        <w:t>does not affect Customs and </w:t>
      </w:r>
      <w:r>
        <w:rPr>
          <w:color w:val="232B34"/>
          <w:w w:val="110"/>
          <w:sz w:val="18"/>
        </w:rPr>
        <w:t>Border </w:t>
      </w:r>
      <w:r>
        <w:rPr>
          <w:color w:val="363F42"/>
          <w:w w:val="110"/>
          <w:sz w:val="18"/>
        </w:rPr>
        <w:t>Protection </w:t>
      </w:r>
      <w:r>
        <w:rPr>
          <w:color w:val="54575B"/>
          <w:w w:val="110"/>
          <w:sz w:val="18"/>
        </w:rPr>
        <w:t>'</w:t>
      </w:r>
      <w:r>
        <w:rPr>
          <w:color w:val="363F42"/>
          <w:w w:val="110"/>
          <w:sz w:val="18"/>
        </w:rPr>
        <w:t>s current intervention activity at the border but clarifies the existing controls on these</w:t>
      </w:r>
      <w:r>
        <w:rPr>
          <w:color w:val="363F42"/>
          <w:spacing w:val="44"/>
          <w:w w:val="110"/>
          <w:sz w:val="18"/>
        </w:rPr>
        <w:t> </w:t>
      </w:r>
      <w:r>
        <w:rPr>
          <w:color w:val="363F42"/>
          <w:w w:val="110"/>
          <w:sz w:val="18"/>
        </w:rPr>
        <w:t>items</w:t>
      </w:r>
      <w:r>
        <w:rPr>
          <w:color w:val="646969"/>
          <w:w w:val="110"/>
          <w:sz w:val="18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6" w:lineRule="auto"/>
        <w:ind w:left="683" w:hanging="8"/>
      </w:pPr>
      <w:r>
        <w:rPr>
          <w:color w:val="363F42"/>
          <w:w w:val="110"/>
        </w:rPr>
        <w:t>Further information about the changes, including fact sheets</w:t>
      </w:r>
      <w:r>
        <w:rPr>
          <w:color w:val="54575B"/>
          <w:w w:val="110"/>
        </w:rPr>
        <w:t>, </w:t>
      </w:r>
      <w:r>
        <w:rPr>
          <w:color w:val="363F42"/>
          <w:w w:val="110"/>
        </w:rPr>
        <w:t>can be found on the </w:t>
      </w:r>
      <w:r>
        <w:rPr>
          <w:color w:val="8093D1"/>
          <w:w w:val="110"/>
        </w:rPr>
        <w:t>Firearms and Weapons page </w:t>
      </w:r>
      <w:r>
        <w:rPr>
          <w:color w:val="363F42"/>
          <w:w w:val="110"/>
        </w:rPr>
        <w:t>on the Customs and Border Protection website</w:t>
      </w:r>
      <w:r>
        <w:rPr>
          <w:color w:val="7C7E7E"/>
          <w:w w:val="110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spacing w:line="266" w:lineRule="auto" w:before="94"/>
        <w:ind w:left="670" w:right="1115" w:firstLine="8"/>
      </w:pPr>
      <w:r>
        <w:rPr>
          <w:color w:val="363F42"/>
          <w:w w:val="110"/>
        </w:rPr>
        <w:t>Inquiries concerning this notice may be directed to </w:t>
      </w:r>
      <w:hyperlink r:id="rId6">
        <w:r>
          <w:rPr>
            <w:color w:val="7B79BC"/>
            <w:w w:val="110"/>
            <w:u w:val="thick" w:color="7B79BC"/>
          </w:rPr>
          <w:t>weaponspolicy@custom s</w:t>
        </w:r>
        <w:r>
          <w:rPr>
            <w:color w:val="8093D1"/>
            <w:w w:val="110"/>
            <w:u w:val="thick" w:color="7B79BC"/>
          </w:rPr>
          <w:t>.</w:t>
        </w:r>
        <w:r>
          <w:rPr>
            <w:color w:val="7B79BC"/>
            <w:w w:val="110"/>
            <w:u w:val="thick" w:color="7B79BC"/>
          </w:rPr>
          <w:t>gov</w:t>
        </w:r>
        <w:r>
          <w:rPr>
            <w:color w:val="8093D1"/>
            <w:w w:val="110"/>
            <w:u w:val="thick" w:color="7B79BC"/>
          </w:rPr>
          <w:t>.</w:t>
        </w:r>
        <w:r>
          <w:rPr>
            <w:color w:val="7B79BC"/>
            <w:w w:val="110"/>
            <w:u w:val="thick" w:color="7B79BC"/>
          </w:rPr>
          <w:t>au</w:t>
        </w:r>
        <w:r>
          <w:rPr>
            <w:color w:val="7B79BC"/>
            <w:w w:val="110"/>
          </w:rPr>
          <w:t> </w:t>
        </w:r>
      </w:hyperlink>
      <w:r>
        <w:rPr>
          <w:color w:val="363F42"/>
          <w:w w:val="110"/>
        </w:rPr>
        <w:t>or Supervisor Firearms &amp; Weapons on telephone number (02) 6245 5478 or fax number (02) 6275 6699</w:t>
      </w:r>
      <w:r>
        <w:rPr>
          <w:color w:val="646969"/>
          <w:w w:val="110"/>
        </w:rPr>
        <w:t>.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1134770</wp:posOffset>
            </wp:positionH>
            <wp:positionV relativeFrom="paragraph">
              <wp:posOffset>118253</wp:posOffset>
            </wp:positionV>
            <wp:extent cx="2050260" cy="59740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260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6" w:lineRule="auto" w:before="4"/>
        <w:ind w:left="672" w:right="7325" w:firstLine="4"/>
      </w:pPr>
      <w:r>
        <w:rPr>
          <w:color w:val="363F42"/>
          <w:w w:val="110"/>
        </w:rPr>
        <w:t>Geoff Johannes National Manager</w:t>
      </w:r>
    </w:p>
    <w:p>
      <w:pPr>
        <w:pStyle w:val="BodyText"/>
        <w:spacing w:line="273" w:lineRule="auto"/>
        <w:ind w:left="672" w:right="5352"/>
      </w:pPr>
      <w:r>
        <w:rPr>
          <w:color w:val="363F42"/>
          <w:w w:val="110"/>
        </w:rPr>
        <w:t>Trade Policy &amp; Implementation Branch CANBERRA ACT</w:t>
      </w:r>
    </w:p>
    <w:p>
      <w:pPr>
        <w:tabs>
          <w:tab w:pos="1349" w:val="left" w:leader="none"/>
        </w:tabs>
        <w:spacing w:before="140"/>
        <w:ind w:left="526" w:right="0" w:firstLine="0"/>
        <w:jc w:val="left"/>
        <w:rPr>
          <w:sz w:val="18"/>
        </w:rPr>
      </w:pPr>
      <w:r>
        <w:rPr>
          <w:rFonts w:ascii="Times New Roman"/>
          <w:i/>
          <w:color w:val="876D7C"/>
          <w:sz w:val="53"/>
        </w:rPr>
        <w:t>dS/</w:t>
        <w:tab/>
      </w:r>
      <w:r>
        <w:rPr>
          <w:color w:val="363F42"/>
          <w:sz w:val="18"/>
        </w:rPr>
        <w:t>August2012</w:t>
      </w:r>
    </w:p>
    <w:sectPr>
      <w:type w:val="continuous"/>
      <w:pgSz w:w="11900" w:h="16800"/>
      <w:pgMar w:top="960" w:bottom="280" w:left="10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Title" w:type="paragraph">
    <w:name w:val="Title"/>
    <w:basedOn w:val="Normal"/>
    <w:uiPriority w:val="1"/>
    <w:qFormat/>
    <w:pPr>
      <w:spacing w:before="88"/>
      <w:ind w:left="1611" w:hanging="6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weaponspolicy@customs.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2020-12-09T22:16:46Z</dcterms:created>
  <dcterms:modified xsi:type="dcterms:W3CDTF">2020-12-09T22:16:46Z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2012-10-11T00:00:00Z</vt:filetime>
  </property>
  <property fmtid="{D5CDD505-2E9C-101B-9397-08002B2CF9AE}" pid="3" name="Creator">
    <vt:lpwstr>HP Smart Document Scan Software</vt:lpwstr>
  </property>
  <property fmtid="{D5CDD505-2E9C-101B-9397-08002B2CF9AE}" pid="4" name="LastSaved">
    <vt:filetime>2020-12-09T00:00:00Z</vt:filetime>
  </property>
</Properties>
</file>