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4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7196945" cy="1088136"/>
            <wp:effectExtent l="0" t="0" r="0" b="0"/>
            <wp:docPr id="1" name="image1.jpeg" descr="A4-stationery-header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6945" cy="108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Title"/>
      </w:pPr>
      <w:r>
        <w:rPr/>
        <w:pict>
          <v:rect style="position:absolute;margin-left:83.543999pt;margin-top:46.527832pt;width:448.99pt;height:.48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AUSTRALIAN CUSTOMS AND BORDER PROTECTION NOTICE NO. 2012/66</w:t>
      </w:r>
    </w:p>
    <w:p>
      <w:pPr>
        <w:spacing w:line="237" w:lineRule="auto" w:before="171"/>
        <w:ind w:left="1851" w:right="1456" w:firstLine="0"/>
        <w:jc w:val="center"/>
        <w:rPr>
          <w:b/>
          <w:sz w:val="24"/>
        </w:rPr>
      </w:pPr>
      <w:r>
        <w:rPr>
          <w:b/>
          <w:sz w:val="24"/>
        </w:rPr>
        <w:t>Australian Charities and Not-for-profits Commission (Consequential and Transitional) Act 2012</w:t>
      </w:r>
    </w:p>
    <w:p>
      <w:pPr>
        <w:pStyle w:val="BodyText"/>
        <w:spacing w:before="208"/>
        <w:ind w:right="1149"/>
      </w:pPr>
      <w:r>
        <w:rPr/>
        <w:t>The </w:t>
      </w:r>
      <w:r>
        <w:rPr>
          <w:i/>
        </w:rPr>
        <w:t>Australian Charities and Not-for-profits Commission Act 2012 </w:t>
      </w:r>
      <w:r>
        <w:rPr/>
        <w:t>(the ACNC Act) establishes a new independent statutory office, the Australian Charities and Not-for-profits Commission (ACNC) which will be the Commonwealth level regulator for the not-for-profit (NFP) sector. Registration with the ACNC will be a precondition where charities seek access to Australian Government exemptions, concessions or benefits available to charities. The ACNC Act received Royal Assent on</w:t>
      </w:r>
    </w:p>
    <w:p>
      <w:pPr>
        <w:pStyle w:val="BodyText"/>
        <w:spacing w:before="3"/>
      </w:pPr>
      <w:r>
        <w:rPr/>
        <w:t>3 December 2012 and commenced on that day.</w:t>
      </w:r>
    </w:p>
    <w:p>
      <w:pPr>
        <w:pStyle w:val="BodyText"/>
        <w:ind w:left="0"/>
        <w:rPr>
          <w:sz w:val="18"/>
        </w:rPr>
      </w:pPr>
    </w:p>
    <w:p>
      <w:pPr>
        <w:spacing w:line="240" w:lineRule="auto" w:before="0"/>
        <w:ind w:left="1519" w:right="1124" w:firstLine="0"/>
        <w:jc w:val="left"/>
        <w:rPr>
          <w:sz w:val="20"/>
        </w:rPr>
      </w:pPr>
      <w:r>
        <w:rPr>
          <w:sz w:val="20"/>
        </w:rPr>
        <w:t>To give effect to this policy a range of consequential legislative amendments were required to establish the ACNC as the central regulatory body for the NFP sector. The </w:t>
      </w:r>
      <w:r>
        <w:rPr>
          <w:i/>
          <w:sz w:val="20"/>
        </w:rPr>
        <w:t>Australian Charities and Not-for-profits Commission (Consequential and Transitional) Act 2012 </w:t>
      </w:r>
      <w:r>
        <w:rPr>
          <w:sz w:val="20"/>
        </w:rPr>
        <w:t>(the ACNC Consequential and Transitional Act) which also commenced on 3 December 2012 contains those amendments.</w:t>
      </w:r>
    </w:p>
    <w:p>
      <w:pPr>
        <w:pStyle w:val="BodyText"/>
        <w:spacing w:before="8"/>
        <w:ind w:left="0"/>
        <w:rPr>
          <w:sz w:val="17"/>
        </w:rPr>
      </w:pPr>
    </w:p>
    <w:p>
      <w:pPr>
        <w:pStyle w:val="BodyText"/>
        <w:spacing w:line="242" w:lineRule="auto"/>
        <w:ind w:right="1181"/>
      </w:pPr>
      <w:r>
        <w:rPr/>
        <w:t>This Act, </w:t>
      </w:r>
      <w:r>
        <w:rPr>
          <w:i/>
        </w:rPr>
        <w:t>inter alia</w:t>
      </w:r>
      <w:r>
        <w:rPr/>
        <w:t>, amends the </w:t>
      </w:r>
      <w:r>
        <w:rPr>
          <w:i/>
        </w:rPr>
        <w:t>Custom Tariff Act 1995 </w:t>
      </w:r>
      <w:r>
        <w:rPr/>
        <w:t>(the Customs Tariff) by inserting a definition of ‘registered charity’ in Part 1 of the Customs Tariff. That definition requires that a charity must be registered under the ACNC Act as an entity mentioned in column 1 of subsection 25-5(5) of that Act.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BodyText"/>
        <w:ind w:right="1149"/>
      </w:pPr>
      <w:r>
        <w:rPr/>
        <w:t>The ACNC Consequential and Transitional Act also amends item 23A of Schedule 4 to the Customs Tariff to provide for the duty free entry of goods that have been donated or bequeathed by a person or company outside Australia to an organisation established in Australia that is: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2231" w:val="left" w:leader="none"/>
        </w:tabs>
        <w:spacing w:line="240" w:lineRule="auto" w:before="0" w:after="0"/>
        <w:ind w:left="2230" w:right="0" w:hanging="428"/>
        <w:jc w:val="left"/>
        <w:rPr>
          <w:sz w:val="20"/>
        </w:rPr>
      </w:pPr>
      <w:r>
        <w:rPr>
          <w:sz w:val="20"/>
        </w:rPr>
        <w:t>a registered charity;</w:t>
      </w:r>
      <w:r>
        <w:rPr>
          <w:spacing w:val="-2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0"/>
          <w:numId w:val="1"/>
        </w:numPr>
        <w:tabs>
          <w:tab w:pos="2231" w:val="left" w:leader="none"/>
        </w:tabs>
        <w:spacing w:line="237" w:lineRule="auto" w:before="3" w:after="0"/>
        <w:ind w:left="2230" w:right="1120" w:hanging="428"/>
        <w:jc w:val="left"/>
        <w:rPr>
          <w:i/>
          <w:sz w:val="20"/>
        </w:rPr>
      </w:pPr>
      <w:r>
        <w:rPr>
          <w:sz w:val="20"/>
        </w:rPr>
        <w:t>a library, museum, gallery or institution, gifts to which </w:t>
      </w:r>
      <w:r>
        <w:rPr>
          <w:spacing w:val="-3"/>
          <w:sz w:val="20"/>
        </w:rPr>
        <w:t>are </w:t>
      </w:r>
      <w:r>
        <w:rPr>
          <w:sz w:val="20"/>
        </w:rPr>
        <w:t>deductible because it is covered by item 12.1.2, 12.1.3, 12.1.4, or 12.1.5 </w:t>
      </w:r>
      <w:r>
        <w:rPr>
          <w:spacing w:val="-4"/>
          <w:sz w:val="20"/>
        </w:rPr>
        <w:t>of </w:t>
      </w:r>
      <w:r>
        <w:rPr>
          <w:sz w:val="20"/>
        </w:rPr>
        <w:t>the table in subsection 30-100(1) of the </w:t>
      </w:r>
      <w:r>
        <w:rPr>
          <w:i/>
          <w:sz w:val="20"/>
        </w:rPr>
        <w:t>Income Tax Assessment Act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1997.</w:t>
      </w:r>
    </w:p>
    <w:p>
      <w:pPr>
        <w:pStyle w:val="BodyText"/>
        <w:spacing w:before="6"/>
        <w:ind w:left="0"/>
        <w:rPr>
          <w:i/>
          <w:sz w:val="18"/>
        </w:rPr>
      </w:pPr>
    </w:p>
    <w:p>
      <w:pPr>
        <w:pStyle w:val="BodyText"/>
      </w:pPr>
      <w:r>
        <w:rPr>
          <w:u w:val="single"/>
        </w:rPr>
        <w:t>Tariff Reprint pages</w:t>
      </w:r>
    </w:p>
    <w:p>
      <w:pPr>
        <w:pStyle w:val="BodyText"/>
        <w:spacing w:before="5"/>
        <w:ind w:left="0"/>
        <w:rPr>
          <w:sz w:val="18"/>
        </w:rPr>
      </w:pPr>
    </w:p>
    <w:tbl>
      <w:tblPr>
        <w:tblW w:w="0" w:type="auto"/>
        <w:jc w:val="left"/>
        <w:tblInd w:w="13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6"/>
        <w:gridCol w:w="3796"/>
      </w:tblGrid>
      <w:tr>
        <w:trPr>
          <w:trHeight w:val="227" w:hRule="atLeast"/>
        </w:trPr>
        <w:tc>
          <w:tcPr>
            <w:tcW w:w="45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Customs Tariff Act 1995</w:t>
            </w:r>
          </w:p>
        </w:tc>
        <w:tc>
          <w:tcPr>
            <w:tcW w:w="3796" w:type="dxa"/>
          </w:tcPr>
          <w:p>
            <w:pPr>
              <w:pStyle w:val="TableParagraph"/>
              <w:ind w:left="2190"/>
              <w:rPr>
                <w:sz w:val="20"/>
              </w:rPr>
            </w:pPr>
            <w:r>
              <w:rPr>
                <w:sz w:val="20"/>
              </w:rPr>
              <w:t>Schedule 4</w:t>
            </w:r>
          </w:p>
        </w:tc>
      </w:tr>
      <w:tr>
        <w:trPr>
          <w:trHeight w:val="227" w:hRule="atLeast"/>
        </w:trPr>
        <w:tc>
          <w:tcPr>
            <w:tcW w:w="45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Page 17 (R.6)</w:t>
            </w:r>
          </w:p>
        </w:tc>
        <w:tc>
          <w:tcPr>
            <w:tcW w:w="3796" w:type="dxa"/>
          </w:tcPr>
          <w:p>
            <w:pPr>
              <w:pStyle w:val="TableParagraph"/>
              <w:ind w:left="2190"/>
              <w:rPr>
                <w:sz w:val="20"/>
              </w:rPr>
            </w:pPr>
            <w:r>
              <w:rPr>
                <w:sz w:val="20"/>
              </w:rPr>
              <w:t>Sch 4/15 (R.15)</w:t>
            </w:r>
          </w:p>
        </w:tc>
      </w:tr>
    </w:tbl>
    <w:p>
      <w:pPr>
        <w:pStyle w:val="BodyText"/>
        <w:spacing w:before="11"/>
        <w:ind w:left="0"/>
        <w:rPr>
          <w:sz w:val="17"/>
        </w:rPr>
      </w:pPr>
    </w:p>
    <w:p>
      <w:pPr>
        <w:pStyle w:val="BodyText"/>
      </w:pPr>
      <w:r>
        <w:rPr>
          <w:u w:val="single"/>
        </w:rPr>
        <w:t>Enquiries</w:t>
      </w:r>
    </w:p>
    <w:p>
      <w:pPr>
        <w:pStyle w:val="BodyText"/>
        <w:spacing w:line="430" w:lineRule="atLeast" w:before="7"/>
        <w:ind w:right="1759"/>
      </w:pPr>
      <w:r>
        <w:rPr/>
        <w:t>Any enquiries concerning the above amendments to the Customs Tariff should be directed to: Manager Trade Policy and Advice</w:t>
      </w:r>
    </w:p>
    <w:p>
      <w:pPr>
        <w:pStyle w:val="BodyText"/>
        <w:spacing w:before="7"/>
        <w:ind w:right="5573"/>
      </w:pPr>
      <w:r>
        <w:rPr/>
        <w:t>Australian Customs and Border Protection Service 5 Constitution Ave</w:t>
      </w:r>
    </w:p>
    <w:p>
      <w:pPr>
        <w:pStyle w:val="BodyText"/>
        <w:spacing w:line="226" w:lineRule="exact"/>
      </w:pPr>
      <w:r>
        <w:rPr/>
        <w:t>Canberra ACT 2601</w:t>
      </w:r>
    </w:p>
    <w:p>
      <w:pPr>
        <w:pStyle w:val="BodyText"/>
        <w:spacing w:before="1"/>
      </w:pPr>
      <w:r>
        <w:rPr/>
        <w:t>Ph: (02) 6275 6095</w:t>
      </w:r>
    </w:p>
    <w:p>
      <w:pPr>
        <w:pStyle w:val="BodyText"/>
      </w:pPr>
      <w:r>
        <w:rPr/>
        <w:t>Email: </w:t>
      </w:r>
      <w:hyperlink r:id="rId6">
        <w:r>
          <w:rPr>
            <w:color w:val="0000FF"/>
            <w:u w:val="single" w:color="0000FF"/>
          </w:rPr>
          <w:t>tariff@customs.gov.au</w:t>
        </w:r>
      </w:hyperlink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(Signed)</w:t>
      </w:r>
    </w:p>
    <w:p>
      <w:pPr>
        <w:pStyle w:val="BodyText"/>
        <w:spacing w:before="1"/>
        <w:ind w:right="7925"/>
      </w:pPr>
      <w:r>
        <w:rPr/>
        <w:t>Geoff Johannes National</w:t>
      </w:r>
      <w:r>
        <w:rPr>
          <w:spacing w:val="11"/>
        </w:rPr>
        <w:t> </w:t>
      </w:r>
      <w:r>
        <w:rPr>
          <w:spacing w:val="-4"/>
        </w:rPr>
        <w:t>Manager</w:t>
      </w:r>
    </w:p>
    <w:p>
      <w:pPr>
        <w:pStyle w:val="BodyText"/>
        <w:ind w:right="6362"/>
      </w:pPr>
      <w:r>
        <w:rPr/>
        <w:t>Trade, Policy and Implementation Branch CANBERRA</w:t>
      </w:r>
      <w:r>
        <w:rPr>
          <w:spacing w:val="1"/>
        </w:rPr>
        <w:t> </w:t>
      </w:r>
      <w:r>
        <w:rPr>
          <w:spacing w:val="-3"/>
        </w:rPr>
        <w:t>ACT</w:t>
      </w:r>
    </w:p>
    <w:p>
      <w:pPr>
        <w:pStyle w:val="BodyText"/>
        <w:spacing w:line="226" w:lineRule="exact"/>
      </w:pPr>
      <w:r>
        <w:rPr/>
        <w:t>3 December</w:t>
      </w:r>
      <w:r>
        <w:rPr>
          <w:spacing w:val="-6"/>
        </w:rPr>
        <w:t> </w:t>
      </w:r>
      <w:r>
        <w:rPr/>
        <w:t>2012</w:t>
      </w:r>
    </w:p>
    <w:sectPr>
      <w:type w:val="continuous"/>
      <w:pgSz w:w="11910" w:h="16840"/>
      <w:pgMar w:top="1120" w:bottom="280" w:left="1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(%1)"/>
      <w:lvlJc w:val="left"/>
      <w:pPr>
        <w:ind w:left="2230" w:hanging="428"/>
        <w:jc w:val="left"/>
      </w:pPr>
      <w:rPr>
        <w:rFonts w:hint="default" w:ascii="Arial" w:hAnsi="Arial" w:eastAsia="Arial" w:cs="Arial"/>
        <w:spacing w:val="-2"/>
        <w:w w:val="100"/>
        <w:sz w:val="20"/>
        <w:szCs w:val="20"/>
        <w:lang w:val="en-au" w:eastAsia="en-US" w:bidi="ar-SA"/>
      </w:rPr>
    </w:lvl>
    <w:lvl w:ilvl="1">
      <w:start w:val="0"/>
      <w:numFmt w:val="bullet"/>
      <w:lvlText w:val="•"/>
      <w:lvlJc w:val="left"/>
      <w:pPr>
        <w:ind w:left="3172" w:hanging="428"/>
      </w:pPr>
      <w:rPr>
        <w:rFonts w:hint="default"/>
        <w:lang w:val="en-au" w:eastAsia="en-US" w:bidi="ar-SA"/>
      </w:rPr>
    </w:lvl>
    <w:lvl w:ilvl="2">
      <w:start w:val="0"/>
      <w:numFmt w:val="bullet"/>
      <w:lvlText w:val="•"/>
      <w:lvlJc w:val="left"/>
      <w:pPr>
        <w:ind w:left="4104" w:hanging="428"/>
      </w:pPr>
      <w:rPr>
        <w:rFonts w:hint="default"/>
        <w:lang w:val="en-au" w:eastAsia="en-US" w:bidi="ar-SA"/>
      </w:rPr>
    </w:lvl>
    <w:lvl w:ilvl="3">
      <w:start w:val="0"/>
      <w:numFmt w:val="bullet"/>
      <w:lvlText w:val="•"/>
      <w:lvlJc w:val="left"/>
      <w:pPr>
        <w:ind w:left="5037" w:hanging="428"/>
      </w:pPr>
      <w:rPr>
        <w:rFonts w:hint="default"/>
        <w:lang w:val="en-au" w:eastAsia="en-US" w:bidi="ar-SA"/>
      </w:rPr>
    </w:lvl>
    <w:lvl w:ilvl="4">
      <w:start w:val="0"/>
      <w:numFmt w:val="bullet"/>
      <w:lvlText w:val="•"/>
      <w:lvlJc w:val="left"/>
      <w:pPr>
        <w:ind w:left="5969" w:hanging="428"/>
      </w:pPr>
      <w:rPr>
        <w:rFonts w:hint="default"/>
        <w:lang w:val="en-au" w:eastAsia="en-US" w:bidi="ar-SA"/>
      </w:rPr>
    </w:lvl>
    <w:lvl w:ilvl="5">
      <w:start w:val="0"/>
      <w:numFmt w:val="bullet"/>
      <w:lvlText w:val="•"/>
      <w:lvlJc w:val="left"/>
      <w:pPr>
        <w:ind w:left="6902" w:hanging="428"/>
      </w:pPr>
      <w:rPr>
        <w:rFonts w:hint="default"/>
        <w:lang w:val="en-au" w:eastAsia="en-US" w:bidi="ar-SA"/>
      </w:rPr>
    </w:lvl>
    <w:lvl w:ilvl="6">
      <w:start w:val="0"/>
      <w:numFmt w:val="bullet"/>
      <w:lvlText w:val="•"/>
      <w:lvlJc w:val="left"/>
      <w:pPr>
        <w:ind w:left="7834" w:hanging="428"/>
      </w:pPr>
      <w:rPr>
        <w:rFonts w:hint="default"/>
        <w:lang w:val="en-au" w:eastAsia="en-US" w:bidi="ar-SA"/>
      </w:rPr>
    </w:lvl>
    <w:lvl w:ilvl="7">
      <w:start w:val="0"/>
      <w:numFmt w:val="bullet"/>
      <w:lvlText w:val="•"/>
      <w:lvlJc w:val="left"/>
      <w:pPr>
        <w:ind w:left="8766" w:hanging="428"/>
      </w:pPr>
      <w:rPr>
        <w:rFonts w:hint="default"/>
        <w:lang w:val="en-au" w:eastAsia="en-US" w:bidi="ar-SA"/>
      </w:rPr>
    </w:lvl>
    <w:lvl w:ilvl="8">
      <w:start w:val="0"/>
      <w:numFmt w:val="bullet"/>
      <w:lvlText w:val="•"/>
      <w:lvlJc w:val="left"/>
      <w:pPr>
        <w:ind w:left="9699" w:hanging="428"/>
      </w:pPr>
      <w:rPr>
        <w:rFonts w:hint="default"/>
        <w:lang w:val="en-a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au" w:eastAsia="en-US" w:bidi="ar-SA"/>
    </w:rPr>
  </w:style>
  <w:style w:styleId="BodyText" w:type="paragraph">
    <w:name w:val="Body Text"/>
    <w:basedOn w:val="Normal"/>
    <w:uiPriority w:val="1"/>
    <w:qFormat/>
    <w:pPr>
      <w:ind w:left="1519"/>
    </w:pPr>
    <w:rPr>
      <w:rFonts w:ascii="Arial" w:hAnsi="Arial" w:eastAsia="Arial" w:cs="Arial"/>
      <w:sz w:val="20"/>
      <w:szCs w:val="20"/>
      <w:lang w:val="en-au" w:eastAsia="en-US" w:bidi="ar-SA"/>
    </w:rPr>
  </w:style>
  <w:style w:styleId="Title" w:type="paragraph">
    <w:name w:val="Title"/>
    <w:basedOn w:val="Normal"/>
    <w:uiPriority w:val="1"/>
    <w:qFormat/>
    <w:pPr>
      <w:spacing w:before="160"/>
      <w:ind w:left="1851" w:right="1455"/>
      <w:jc w:val="center"/>
    </w:pPr>
    <w:rPr>
      <w:rFonts w:ascii="Arial" w:hAnsi="Arial" w:eastAsia="Arial" w:cs="Arial"/>
      <w:b/>
      <w:bCs/>
      <w:sz w:val="32"/>
      <w:szCs w:val="32"/>
      <w:lang w:val="en-au" w:eastAsia="en-US" w:bidi="ar-SA"/>
    </w:rPr>
  </w:style>
  <w:style w:styleId="ListParagraph" w:type="paragraph">
    <w:name w:val="List Paragraph"/>
    <w:basedOn w:val="Normal"/>
    <w:uiPriority w:val="1"/>
    <w:qFormat/>
    <w:pPr>
      <w:ind w:left="2230" w:hanging="428"/>
    </w:pPr>
    <w:rPr>
      <w:rFonts w:ascii="Arial" w:hAnsi="Arial" w:eastAsia="Arial" w:cs="Arial"/>
      <w:lang w:val="en-au" w:eastAsia="en-US" w:bidi="ar-SA"/>
    </w:rPr>
  </w:style>
  <w:style w:styleId="TableParagraph" w:type="paragraph">
    <w:name w:val="Table Paragraph"/>
    <w:basedOn w:val="Normal"/>
    <w:uiPriority w:val="1"/>
    <w:qFormat/>
    <w:pPr>
      <w:spacing w:line="208" w:lineRule="exact"/>
      <w:ind w:left="200"/>
    </w:pPr>
    <w:rPr>
      <w:rFonts w:ascii="Arial" w:hAnsi="Arial" w:eastAsia="Arial" w:cs="Arial"/>
      <w:lang w:val="en-a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tariff@customs.gov.au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2020-12-09T23:09:30Z</dcterms:created>
  <dcterms:modified xsi:type="dcterms:W3CDTF">2020-12-09T23:09:30Z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2012-12-03T00:00:00Z</vt:filetime>
  </property>
  <property fmtid="{D5CDD505-2E9C-101B-9397-08002B2CF9AE}" pid="3" name="LastSaved">
    <vt:filetime>2020-12-09T00:00:00Z</vt:filetime>
  </property>
</Properties>
</file>