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196945" cy="10881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94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  <w:spacing w:line="242" w:lineRule="auto"/>
        <w:ind w:left="4977"/>
      </w:pPr>
      <w:r>
        <w:rPr/>
        <w:pict>
          <v:rect style="position:absolute;margin-left:83.543999pt;margin-top:37.671856pt;width:428.33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AUSTRALIAN CUSTOMS AND BORDER PROTECTION NOTICE NO. 2012/67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Title"/>
        <w:spacing w:before="90"/>
        <w:ind w:right="2486" w:firstLine="0"/>
      </w:pPr>
      <w:r>
        <w:rPr/>
        <w:t>Introduction into Parliament of the Customs Amendment (Miscellaneous Measures) Bill 2012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ind w:left="1519" w:right="2894"/>
      </w:pPr>
      <w:r>
        <w:rPr/>
        <w:t>The Minister for Home Affairs, Jason Clare, introduced the Customs Amendment (Miscellaneous Measures) Bill 2012 into Parliament on 28 November 2012.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2" w:lineRule="auto"/>
        <w:ind w:left="1519" w:right="1793"/>
      </w:pPr>
      <w:r>
        <w:rPr/>
        <w:t>The Bill amends the </w:t>
      </w:r>
      <w:r>
        <w:rPr>
          <w:i/>
        </w:rPr>
        <w:t>Customs Act 1901 </w:t>
      </w:r>
      <w:r>
        <w:rPr/>
        <w:t>(Customs Act) to introduce a new offence for bringing into Australia a new category of goods known as ‘restricted goods.’ Restricted goods will be prescribed by regulation and would be prohibited imports if they were imported into Australia.</w:t>
      </w:r>
    </w:p>
    <w:p>
      <w:pPr>
        <w:pStyle w:val="BodyText"/>
        <w:spacing w:before="6"/>
        <w:rPr>
          <w:sz w:val="19"/>
        </w:rPr>
      </w:pPr>
    </w:p>
    <w:p>
      <w:pPr>
        <w:spacing w:line="242" w:lineRule="auto" w:before="0"/>
        <w:ind w:left="1519" w:right="1571" w:firstLine="0"/>
        <w:jc w:val="left"/>
        <w:rPr>
          <w:sz w:val="20"/>
        </w:rPr>
      </w:pPr>
      <w:r>
        <w:rPr>
          <w:sz w:val="20"/>
        </w:rPr>
        <w:t>The Bill also amends the Customs Act, the </w:t>
      </w:r>
      <w:r>
        <w:rPr>
          <w:i/>
          <w:sz w:val="20"/>
        </w:rPr>
        <w:t>Import Processing Charges Act 2001 </w:t>
      </w:r>
      <w:r>
        <w:rPr>
          <w:sz w:val="20"/>
        </w:rPr>
        <w:t>and the </w:t>
      </w:r>
      <w:r>
        <w:rPr>
          <w:i/>
          <w:sz w:val="20"/>
        </w:rPr>
        <w:t>A New Tax System (Wine Equalisation Tax) Act 1999 </w:t>
      </w:r>
      <w:r>
        <w:rPr>
          <w:sz w:val="20"/>
        </w:rPr>
        <w:t>to make a number of technical amendments including: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35" w:val="left" w:leader="none"/>
          <w:tab w:pos="2236" w:val="left" w:leader="none"/>
        </w:tabs>
        <w:spacing w:line="230" w:lineRule="auto" w:before="0" w:after="0"/>
        <w:ind w:left="2235" w:right="2240" w:hanging="360"/>
        <w:jc w:val="left"/>
        <w:rPr>
          <w:sz w:val="20"/>
        </w:rPr>
      </w:pPr>
      <w:r>
        <w:rPr>
          <w:sz w:val="20"/>
        </w:rPr>
        <w:t>clarifying that self-powered ships and aircraft that are imported or intended to be imported are subject to the control </w:t>
      </w:r>
      <w:r>
        <w:rPr>
          <w:spacing w:val="-4"/>
          <w:sz w:val="20"/>
        </w:rPr>
        <w:t>of </w:t>
      </w:r>
      <w:r>
        <w:rPr>
          <w:sz w:val="20"/>
        </w:rPr>
        <w:t>Customs and should be entered for home consumption;</w:t>
      </w:r>
    </w:p>
    <w:p>
      <w:pPr>
        <w:pStyle w:val="ListParagraph"/>
        <w:numPr>
          <w:ilvl w:val="0"/>
          <w:numId w:val="1"/>
        </w:numPr>
        <w:tabs>
          <w:tab w:pos="2235" w:val="left" w:leader="none"/>
          <w:tab w:pos="2236" w:val="left" w:leader="none"/>
        </w:tabs>
        <w:spacing w:line="232" w:lineRule="auto" w:before="19" w:after="0"/>
        <w:ind w:left="2235" w:right="1741" w:hanging="360"/>
        <w:jc w:val="left"/>
        <w:rPr>
          <w:sz w:val="20"/>
        </w:rPr>
      </w:pPr>
      <w:r>
        <w:rPr>
          <w:sz w:val="20"/>
        </w:rPr>
        <w:t>amending a number </w:t>
      </w:r>
      <w:r>
        <w:rPr>
          <w:spacing w:val="-4"/>
          <w:sz w:val="20"/>
        </w:rPr>
        <w:t>of </w:t>
      </w:r>
      <w:r>
        <w:rPr>
          <w:sz w:val="20"/>
        </w:rPr>
        <w:t>valuation definitions to ensure consistency with the Agreement on Implementation </w:t>
      </w:r>
      <w:r>
        <w:rPr>
          <w:spacing w:val="-4"/>
          <w:sz w:val="20"/>
        </w:rPr>
        <w:t>of </w:t>
      </w:r>
      <w:r>
        <w:rPr>
          <w:sz w:val="20"/>
        </w:rPr>
        <w:t>Article VII </w:t>
      </w:r>
      <w:r>
        <w:rPr>
          <w:spacing w:val="-4"/>
          <w:sz w:val="20"/>
        </w:rPr>
        <w:t>of </w:t>
      </w:r>
      <w:r>
        <w:rPr>
          <w:sz w:val="20"/>
        </w:rPr>
        <w:t>the General Agreement on Tariffs and Trade 1994 (World Trade Organization Customs Valuation</w:t>
      </w:r>
      <w:r>
        <w:rPr>
          <w:spacing w:val="-18"/>
          <w:sz w:val="20"/>
        </w:rPr>
        <w:t> </w:t>
      </w:r>
      <w:r>
        <w:rPr>
          <w:sz w:val="20"/>
        </w:rPr>
        <w:t>Agreement);</w:t>
      </w:r>
    </w:p>
    <w:p>
      <w:pPr>
        <w:pStyle w:val="ListParagraph"/>
        <w:numPr>
          <w:ilvl w:val="0"/>
          <w:numId w:val="1"/>
        </w:numPr>
        <w:tabs>
          <w:tab w:pos="2235" w:val="left" w:leader="none"/>
          <w:tab w:pos="2236" w:val="left" w:leader="none"/>
        </w:tabs>
        <w:spacing w:line="232" w:lineRule="auto" w:before="20" w:after="0"/>
        <w:ind w:left="2235" w:right="1962" w:hanging="360"/>
        <w:jc w:val="left"/>
        <w:rPr>
          <w:sz w:val="20"/>
        </w:rPr>
      </w:pPr>
      <w:r>
        <w:rPr>
          <w:sz w:val="20"/>
        </w:rPr>
        <w:t>enabling officers </w:t>
      </w:r>
      <w:r>
        <w:rPr>
          <w:spacing w:val="-4"/>
          <w:sz w:val="20"/>
        </w:rPr>
        <w:t>of </w:t>
      </w:r>
      <w:r>
        <w:rPr>
          <w:sz w:val="20"/>
        </w:rPr>
        <w:t>Customs to designate a customs controlled area for both passengers and crew, and the CEO to designate a seaport as a customs controlled area;</w:t>
      </w:r>
    </w:p>
    <w:p>
      <w:pPr>
        <w:pStyle w:val="ListParagraph"/>
        <w:numPr>
          <w:ilvl w:val="0"/>
          <w:numId w:val="1"/>
        </w:numPr>
        <w:tabs>
          <w:tab w:pos="2235" w:val="left" w:leader="none"/>
          <w:tab w:pos="2236" w:val="left" w:leader="none"/>
        </w:tabs>
        <w:spacing w:line="223" w:lineRule="auto" w:before="21" w:after="0"/>
        <w:ind w:left="2235" w:right="2152" w:hanging="360"/>
        <w:jc w:val="left"/>
        <w:rPr>
          <w:sz w:val="20"/>
        </w:rPr>
      </w:pPr>
      <w:r>
        <w:rPr>
          <w:sz w:val="20"/>
        </w:rPr>
        <w:t>allowing the </w:t>
      </w:r>
      <w:r>
        <w:rPr>
          <w:spacing w:val="-3"/>
          <w:sz w:val="20"/>
        </w:rPr>
        <w:t>CEO </w:t>
      </w:r>
      <w:r>
        <w:rPr>
          <w:sz w:val="20"/>
        </w:rPr>
        <w:t>to request further information from an applicant, to address any concerns, prior to the grant </w:t>
      </w:r>
      <w:r>
        <w:rPr>
          <w:spacing w:val="-4"/>
          <w:sz w:val="20"/>
        </w:rPr>
        <w:t>of </w:t>
      </w:r>
      <w:r>
        <w:rPr>
          <w:sz w:val="20"/>
        </w:rPr>
        <w:t>a </w:t>
      </w:r>
      <w:r>
        <w:rPr>
          <w:spacing w:val="-3"/>
          <w:sz w:val="20"/>
        </w:rPr>
        <w:t>warehouse</w:t>
      </w:r>
      <w:r>
        <w:rPr>
          <w:spacing w:val="11"/>
          <w:sz w:val="20"/>
        </w:rPr>
        <w:t> </w:t>
      </w:r>
      <w:r>
        <w:rPr>
          <w:sz w:val="20"/>
        </w:rPr>
        <w:t>licence;</w:t>
      </w:r>
    </w:p>
    <w:p>
      <w:pPr>
        <w:pStyle w:val="ListParagraph"/>
        <w:numPr>
          <w:ilvl w:val="0"/>
          <w:numId w:val="1"/>
        </w:numPr>
        <w:tabs>
          <w:tab w:pos="2235" w:val="left" w:leader="none"/>
          <w:tab w:pos="2236" w:val="left" w:leader="none"/>
        </w:tabs>
        <w:spacing w:line="223" w:lineRule="auto" w:before="30" w:after="0"/>
        <w:ind w:left="2235" w:right="1830" w:hanging="360"/>
        <w:jc w:val="left"/>
        <w:rPr>
          <w:sz w:val="20"/>
        </w:rPr>
      </w:pPr>
      <w:r>
        <w:rPr>
          <w:sz w:val="20"/>
        </w:rPr>
        <w:t>aligning the treatment </w:t>
      </w:r>
      <w:r>
        <w:rPr>
          <w:spacing w:val="-4"/>
          <w:sz w:val="20"/>
        </w:rPr>
        <w:t>of </w:t>
      </w:r>
      <w:r>
        <w:rPr>
          <w:sz w:val="20"/>
        </w:rPr>
        <w:t>the timeliness of the report </w:t>
      </w:r>
      <w:r>
        <w:rPr>
          <w:spacing w:val="-4"/>
          <w:sz w:val="20"/>
        </w:rPr>
        <w:t>of </w:t>
      </w:r>
      <w:r>
        <w:rPr>
          <w:sz w:val="20"/>
        </w:rPr>
        <w:t>cargo reporters with the cargo report;</w:t>
      </w:r>
    </w:p>
    <w:p>
      <w:pPr>
        <w:pStyle w:val="ListParagraph"/>
        <w:numPr>
          <w:ilvl w:val="0"/>
          <w:numId w:val="1"/>
        </w:numPr>
        <w:tabs>
          <w:tab w:pos="2235" w:val="left" w:leader="none"/>
          <w:tab w:pos="2236" w:val="left" w:leader="none"/>
        </w:tabs>
        <w:spacing w:line="244" w:lineRule="exact" w:before="19" w:after="0"/>
        <w:ind w:left="2235" w:right="0" w:hanging="361"/>
        <w:jc w:val="left"/>
        <w:rPr>
          <w:sz w:val="20"/>
        </w:rPr>
      </w:pPr>
      <w:r>
        <w:rPr>
          <w:sz w:val="20"/>
        </w:rPr>
        <w:t>repealing the legislation which introduced the accredited client</w:t>
      </w:r>
      <w:r>
        <w:rPr>
          <w:spacing w:val="-5"/>
          <w:sz w:val="20"/>
        </w:rPr>
        <w:t> </w:t>
      </w:r>
      <w:r>
        <w:rPr>
          <w:sz w:val="20"/>
        </w:rPr>
        <w:t>program;</w:t>
      </w:r>
    </w:p>
    <w:p>
      <w:pPr>
        <w:pStyle w:val="ListParagraph"/>
        <w:numPr>
          <w:ilvl w:val="0"/>
          <w:numId w:val="1"/>
        </w:numPr>
        <w:tabs>
          <w:tab w:pos="2235" w:val="left" w:leader="none"/>
          <w:tab w:pos="2236" w:val="left" w:leader="none"/>
        </w:tabs>
        <w:spacing w:line="242" w:lineRule="exact" w:before="0" w:after="0"/>
        <w:ind w:left="2235" w:right="0" w:hanging="361"/>
        <w:jc w:val="left"/>
        <w:rPr>
          <w:sz w:val="20"/>
        </w:rPr>
      </w:pPr>
      <w:r>
        <w:rPr>
          <w:sz w:val="20"/>
        </w:rPr>
        <w:t>repealing expired moratorium period for cargo reporting;</w:t>
      </w:r>
      <w:r>
        <w:rPr>
          <w:spacing w:val="-7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2235" w:val="left" w:leader="none"/>
          <w:tab w:pos="2236" w:val="left" w:leader="none"/>
        </w:tabs>
        <w:spacing w:line="246" w:lineRule="exact" w:before="0" w:after="0"/>
        <w:ind w:left="2235" w:right="0" w:hanging="361"/>
        <w:jc w:val="left"/>
        <w:rPr>
          <w:sz w:val="20"/>
        </w:rPr>
      </w:pPr>
      <w:r>
        <w:rPr>
          <w:sz w:val="20"/>
        </w:rPr>
        <w:t>other minor technical</w:t>
      </w:r>
      <w:r>
        <w:rPr>
          <w:spacing w:val="-3"/>
          <w:sz w:val="20"/>
        </w:rPr>
        <w:t> </w:t>
      </w:r>
      <w:r>
        <w:rPr>
          <w:sz w:val="20"/>
        </w:rPr>
        <w:t>amendments.</w:t>
      </w:r>
    </w:p>
    <w:p>
      <w:pPr>
        <w:pStyle w:val="BodyText"/>
        <w:rPr>
          <w:sz w:val="24"/>
        </w:rPr>
      </w:pPr>
    </w:p>
    <w:p>
      <w:pPr>
        <w:pStyle w:val="BodyText"/>
        <w:spacing w:before="167"/>
        <w:ind w:left="1519" w:right="3493"/>
      </w:pPr>
      <w:r>
        <w:rPr/>
        <w:t>The Bill and the Explanatory memorandum are available on the Australian Parliament House website on the Bills page. </w:t>
      </w:r>
      <w:hyperlink r:id="rId6">
        <w:r>
          <w:rPr>
            <w:color w:val="0000FF"/>
            <w:u w:val="single" w:color="0000FF"/>
          </w:rPr>
          <w:t>http://www.aph.gov.au/Parliamentary_Business/Bills_Legislation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19"/>
      </w:pPr>
      <w:r>
        <w:rPr/>
        <w:t>[signed]</w:t>
      </w:r>
    </w:p>
    <w:p>
      <w:pPr>
        <w:pStyle w:val="BodyText"/>
        <w:spacing w:before="1"/>
        <w:ind w:left="1519" w:right="8452"/>
      </w:pPr>
      <w:r>
        <w:rPr/>
        <w:t>Geoff Johannes National Manager</w:t>
      </w:r>
    </w:p>
    <w:p>
      <w:pPr>
        <w:pStyle w:val="BodyText"/>
        <w:spacing w:before="1"/>
        <w:ind w:left="1519" w:right="7051"/>
      </w:pPr>
      <w:r>
        <w:rPr/>
        <w:t>Trade, Policy and Implementation 29 November 2012</w:t>
      </w:r>
    </w:p>
    <w:sectPr>
      <w:type w:val="continuous"/>
      <w:pgSz w:w="11910" w:h="16840"/>
      <w:pgMar w:top="112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235" w:hanging="360"/>
      </w:pPr>
      <w:rPr>
        <w:rFonts w:hint="default" w:ascii="Symbol" w:hAnsi="Symbol" w:eastAsia="Symbol" w:cs="Symbol"/>
        <w:w w:val="77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3172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5037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969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902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834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66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699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519" w:right="1612" w:hanging="3362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ind w:left="223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aph.gov.au/Parliamentary_Business/Bills_Legislatio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2020-12-09T23:05:22Z</dcterms:created>
  <dcterms:modified xsi:type="dcterms:W3CDTF">2020-12-09T23:05:22Z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LastSaved">
    <vt:filetime>2020-12-09T00:00:00Z</vt:filetime>
  </property>
</Properties>
</file>