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15"/>
        </w:rPr>
      </w:pPr>
      <w:r>
        <w:rPr/>
        <w:pict>
          <v:line style="position:absolute;mso-position-horizontal-relative:page;mso-position-vertical-relative:page;z-index:-15835648" from="10.577181pt,140.801041pt" to="577.898696pt,140.801041pt" stroked="true" strokeweight="6.727694pt" strokecolor="#000000">
            <v:stroke dashstyle="solid"/>
            <w10:wrap type="none"/>
          </v:line>
        </w:pict>
      </w:r>
    </w:p>
    <w:p>
      <w:pPr>
        <w:spacing w:before="89"/>
        <w:ind w:left="1616" w:right="0" w:hanging="1"/>
        <w:jc w:val="left"/>
        <w:rPr>
          <w:rFonts w:ascii="Times New Roman"/>
          <w:sz w:val="27"/>
        </w:rPr>
      </w:pPr>
      <w:r>
        <w:rPr/>
        <w:drawing>
          <wp:anchor distT="0" distB="0" distL="0" distR="0" allowOverlap="1" layoutInCell="1" locked="0" behindDoc="0" simplePos="0" relativeHeight="15729152">
            <wp:simplePos x="0" y="0"/>
            <wp:positionH relativeFrom="page">
              <wp:posOffset>659439</wp:posOffset>
            </wp:positionH>
            <wp:positionV relativeFrom="paragraph">
              <wp:posOffset>-106878</wp:posOffset>
            </wp:positionV>
            <wp:extent cx="879252" cy="63470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79252" cy="634709"/>
                    </a:xfrm>
                    <a:prstGeom prst="rect">
                      <a:avLst/>
                    </a:prstGeom>
                  </pic:spPr>
                </pic:pic>
              </a:graphicData>
            </a:graphic>
          </wp:anchor>
        </w:drawing>
      </w:r>
      <w:r>
        <w:rPr>
          <w:rFonts w:ascii="Times New Roman"/>
          <w:color w:val="4D4B64"/>
          <w:sz w:val="27"/>
          <w:u w:val="thick" w:color="4D4B64"/>
        </w:rPr>
        <w:t>Australian</w:t>
      </w:r>
      <w:r>
        <w:rPr>
          <w:rFonts w:ascii="Times New Roman"/>
          <w:color w:val="4D4B64"/>
          <w:spacing w:val="52"/>
          <w:sz w:val="27"/>
          <w:u w:val="thick" w:color="4D4B64"/>
        </w:rPr>
        <w:t> </w:t>
      </w:r>
      <w:r>
        <w:rPr>
          <w:rFonts w:ascii="Times New Roman"/>
          <w:color w:val="4D4B64"/>
          <w:sz w:val="27"/>
          <w:u w:val="thick" w:color="4D4B64"/>
        </w:rPr>
        <w:t>Government</w:t>
      </w:r>
    </w:p>
    <w:p>
      <w:pPr>
        <w:spacing w:line="256" w:lineRule="auto" w:before="127"/>
        <w:ind w:left="1614" w:right="4963" w:firstLine="2"/>
        <w:jc w:val="left"/>
        <w:rPr>
          <w:rFonts w:ascii="Times New Roman"/>
          <w:sz w:val="25"/>
        </w:rPr>
      </w:pPr>
      <w:r>
        <w:rPr>
          <w:rFonts w:ascii="Times New Roman"/>
          <w:color w:val="4D4B64"/>
          <w:sz w:val="25"/>
        </w:rPr>
        <w:t>Australian Customs and Border Protection</w:t>
      </w:r>
      <w:r>
        <w:rPr>
          <w:rFonts w:ascii="Times New Roman"/>
          <w:color w:val="4D4B64"/>
          <w:spacing w:val="11"/>
          <w:sz w:val="25"/>
        </w:rPr>
        <w:t> </w:t>
      </w:r>
      <w:r>
        <w:rPr>
          <w:rFonts w:ascii="Times New Roman"/>
          <w:color w:val="4D4B64"/>
          <w:sz w:val="25"/>
        </w:rPr>
        <w:t>Service</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2"/>
        </w:rPr>
      </w:pPr>
    </w:p>
    <w:p>
      <w:pPr>
        <w:pStyle w:val="Title"/>
        <w:spacing w:line="252" w:lineRule="auto" w:before="92" w:after="2"/>
        <w:ind w:left="4122"/>
      </w:pPr>
      <w:r>
        <w:rPr>
          <w:color w:val="2F2F31"/>
        </w:rPr>
        <w:t>AUSTRALIAN CUSTOMS AND BORDER PROTECTION NOTICE NO. 2012/ 70</w:t>
      </w:r>
    </w:p>
    <w:p>
      <w:pPr>
        <w:pStyle w:val="BodyText"/>
        <w:spacing w:line="20" w:lineRule="exact"/>
        <w:ind w:left="668"/>
        <w:rPr>
          <w:sz w:val="2"/>
        </w:rPr>
      </w:pPr>
      <w:r>
        <w:rPr>
          <w:sz w:val="2"/>
        </w:rPr>
        <w:pict>
          <v:group style="width:428.9pt;height:.75pt;mso-position-horizontal-relative:char;mso-position-vertical-relative:line" coordorigin="0,0" coordsize="8578,15">
            <v:line style="position:absolute" from="0,7" to="8577,7" stroked="true" strokeweight=".720824pt" strokecolor="#000000">
              <v:stroke dashstyle="solid"/>
            </v:line>
          </v:group>
        </w:pict>
      </w:r>
      <w:r>
        <w:rPr>
          <w:sz w:val="2"/>
        </w:rPr>
      </w:r>
    </w:p>
    <w:p>
      <w:pPr>
        <w:pStyle w:val="BodyText"/>
        <w:spacing w:before="11"/>
        <w:rPr>
          <w:b/>
          <w:sz w:val="24"/>
        </w:rPr>
      </w:pPr>
    </w:p>
    <w:p>
      <w:pPr>
        <w:pStyle w:val="Title"/>
        <w:spacing w:line="249" w:lineRule="auto"/>
        <w:ind w:hanging="4"/>
      </w:pPr>
      <w:r>
        <w:rPr>
          <w:color w:val="2F2F31"/>
          <w:w w:val="105"/>
        </w:rPr>
        <w:t>Increase</w:t>
      </w:r>
      <w:r>
        <w:rPr>
          <w:color w:val="2F2F31"/>
          <w:spacing w:val="-8"/>
          <w:w w:val="105"/>
        </w:rPr>
        <w:t> </w:t>
      </w:r>
      <w:r>
        <w:rPr>
          <w:color w:val="2F2F31"/>
          <w:w w:val="105"/>
        </w:rPr>
        <w:t>to</w:t>
      </w:r>
      <w:r>
        <w:rPr>
          <w:color w:val="2F2F31"/>
          <w:spacing w:val="-27"/>
          <w:w w:val="105"/>
        </w:rPr>
        <w:t> </w:t>
      </w:r>
      <w:r>
        <w:rPr>
          <w:color w:val="2F2F31"/>
          <w:w w:val="105"/>
        </w:rPr>
        <w:t>the</w:t>
      </w:r>
      <w:r>
        <w:rPr>
          <w:color w:val="2F2F31"/>
          <w:spacing w:val="-17"/>
          <w:w w:val="105"/>
        </w:rPr>
        <w:t> </w:t>
      </w:r>
      <w:r>
        <w:rPr>
          <w:color w:val="2F2F31"/>
          <w:w w:val="105"/>
        </w:rPr>
        <w:t>value</w:t>
      </w:r>
      <w:r>
        <w:rPr>
          <w:color w:val="2F2F31"/>
          <w:spacing w:val="-17"/>
          <w:w w:val="105"/>
        </w:rPr>
        <w:t> </w:t>
      </w:r>
      <w:r>
        <w:rPr>
          <w:color w:val="2F2F31"/>
          <w:w w:val="105"/>
        </w:rPr>
        <w:t>of</w:t>
      </w:r>
      <w:r>
        <w:rPr>
          <w:color w:val="2F2F31"/>
          <w:spacing w:val="-21"/>
          <w:w w:val="105"/>
        </w:rPr>
        <w:t> </w:t>
      </w:r>
      <w:r>
        <w:rPr>
          <w:color w:val="2F2F31"/>
          <w:w w:val="105"/>
        </w:rPr>
        <w:t>penalty</w:t>
      </w:r>
      <w:r>
        <w:rPr>
          <w:color w:val="2F2F31"/>
          <w:spacing w:val="-12"/>
          <w:w w:val="105"/>
        </w:rPr>
        <w:t> </w:t>
      </w:r>
      <w:r>
        <w:rPr>
          <w:color w:val="2F2F31"/>
          <w:w w:val="105"/>
        </w:rPr>
        <w:t>units</w:t>
      </w:r>
      <w:r>
        <w:rPr>
          <w:color w:val="2F2F31"/>
          <w:spacing w:val="-17"/>
          <w:w w:val="105"/>
        </w:rPr>
        <w:t> </w:t>
      </w:r>
      <w:r>
        <w:rPr>
          <w:color w:val="2F2F31"/>
          <w:w w:val="105"/>
        </w:rPr>
        <w:t>in</w:t>
      </w:r>
      <w:r>
        <w:rPr>
          <w:color w:val="2F2F31"/>
          <w:spacing w:val="-27"/>
          <w:w w:val="105"/>
        </w:rPr>
        <w:t> </w:t>
      </w:r>
      <w:r>
        <w:rPr>
          <w:color w:val="2F2F31"/>
          <w:w w:val="105"/>
        </w:rPr>
        <w:t>Commonwealth legislation - from $110 to $170 per</w:t>
      </w:r>
      <w:r>
        <w:rPr>
          <w:color w:val="2F2F31"/>
          <w:spacing w:val="-19"/>
          <w:w w:val="105"/>
        </w:rPr>
        <w:t> </w:t>
      </w:r>
      <w:r>
        <w:rPr>
          <w:color w:val="2F2F31"/>
          <w:w w:val="105"/>
        </w:rPr>
        <w:t>unit</w:t>
      </w:r>
    </w:p>
    <w:p>
      <w:pPr>
        <w:pStyle w:val="BodyText"/>
        <w:spacing w:before="9"/>
        <w:rPr>
          <w:b/>
          <w:sz w:val="24"/>
        </w:rPr>
      </w:pPr>
    </w:p>
    <w:p>
      <w:pPr>
        <w:pStyle w:val="BodyText"/>
        <w:spacing w:line="249" w:lineRule="auto"/>
        <w:ind w:left="716" w:right="328" w:hanging="3"/>
      </w:pPr>
      <w:r>
        <w:rPr>
          <w:color w:val="2F2F31"/>
          <w:w w:val="105"/>
        </w:rPr>
        <w:t>Higher financial penalties will soon be in place for breaches of most Commonwealth laws. Under most Commonwealth laws, financial penalties are expressed in terms of 'penalty units' instead of dollar figures. As an example, Commonwealth legislation would generally express a maximum fine as '10 penalty units' as opposed to</w:t>
      </w:r>
      <w:r>
        <w:rPr>
          <w:color w:val="2F2F31"/>
          <w:spacing w:val="19"/>
          <w:w w:val="105"/>
        </w:rPr>
        <w:t> </w:t>
      </w:r>
      <w:r>
        <w:rPr>
          <w:color w:val="2F2F31"/>
          <w:w w:val="105"/>
        </w:rPr>
        <w:t>'$1,100'.</w:t>
      </w:r>
    </w:p>
    <w:p>
      <w:pPr>
        <w:pStyle w:val="BodyText"/>
        <w:spacing w:before="4"/>
        <w:rPr>
          <w:sz w:val="20"/>
        </w:rPr>
      </w:pPr>
    </w:p>
    <w:p>
      <w:pPr>
        <w:pStyle w:val="BodyText"/>
        <w:spacing w:before="1"/>
        <w:ind w:left="719"/>
      </w:pPr>
      <w:r>
        <w:rPr>
          <w:color w:val="2F2F31"/>
          <w:w w:val="105"/>
        </w:rPr>
        <w:t>On 28 December 2012, the value of a penalty unit will increase from $110 to $170.</w:t>
      </w:r>
    </w:p>
    <w:p>
      <w:pPr>
        <w:pStyle w:val="BodyText"/>
        <w:spacing w:line="254" w:lineRule="auto" w:before="12"/>
        <w:ind w:left="722" w:right="959" w:hanging="3"/>
      </w:pPr>
      <w:r>
        <w:rPr>
          <w:color w:val="2F2F31"/>
          <w:w w:val="105"/>
        </w:rPr>
        <w:t>This means that the maximum financial penalties for committing various Commonwealth offences, including those under the </w:t>
      </w:r>
      <w:r>
        <w:rPr>
          <w:i/>
          <w:color w:val="2F2F31"/>
          <w:w w:val="105"/>
        </w:rPr>
        <w:t>Customs Act 1901, </w:t>
      </w:r>
      <w:r>
        <w:rPr>
          <w:color w:val="2F2F31"/>
          <w:w w:val="105"/>
        </w:rPr>
        <w:t>will rise accordingly.</w:t>
      </w:r>
    </w:p>
    <w:p>
      <w:pPr>
        <w:pStyle w:val="BodyText"/>
        <w:spacing w:before="10"/>
      </w:pPr>
    </w:p>
    <w:p>
      <w:pPr>
        <w:pStyle w:val="BodyText"/>
        <w:spacing w:line="249" w:lineRule="auto"/>
        <w:ind w:left="726" w:right="453" w:hanging="2"/>
      </w:pPr>
      <w:r>
        <w:rPr>
          <w:color w:val="2F2F31"/>
          <w:w w:val="105"/>
        </w:rPr>
        <w:t>The penalty unit value has not changed since 1997, meaning the real value of the penalty unit has reduced. This change is necessary to ensure that financial penalties remain effective deterrents to the commission of Commonwealth offences.</w:t>
      </w:r>
    </w:p>
    <w:p>
      <w:pPr>
        <w:pStyle w:val="BodyText"/>
        <w:spacing w:before="1"/>
        <w:rPr>
          <w:sz w:val="20"/>
        </w:rPr>
      </w:pPr>
    </w:p>
    <w:p>
      <w:pPr>
        <w:pStyle w:val="BodyText"/>
        <w:spacing w:line="254" w:lineRule="auto" w:before="1"/>
        <w:ind w:left="729" w:right="223" w:hanging="5"/>
      </w:pPr>
      <w:r>
        <w:rPr>
          <w:color w:val="2F2F31"/>
          <w:w w:val="105"/>
        </w:rPr>
        <w:t>The new penalty unit value will only apply to offences committed on or after 28 December 2012. This means the changes will not impact on current or future proceedings, or other action that may be taken, in relation to offences committed before this date. Any penalties, including those specified in Customs and Border Protection infringement notices, for offences committed before 28 December 2012, will attract the current penalty unit amount of $110.</w:t>
      </w:r>
    </w:p>
    <w:p>
      <w:pPr>
        <w:pStyle w:val="BodyText"/>
        <w:spacing w:before="2"/>
      </w:pPr>
    </w:p>
    <w:p>
      <w:pPr>
        <w:pStyle w:val="BodyText"/>
        <w:ind w:left="729"/>
      </w:pPr>
      <w:r>
        <w:rPr>
          <w:color w:val="2F2F31"/>
          <w:w w:val="105"/>
        </w:rPr>
        <w:t>To illustrate further the change, please see the following table.</w:t>
      </w:r>
    </w:p>
    <w:p>
      <w:pPr>
        <w:pStyle w:val="BodyText"/>
        <w:spacing w:before="6"/>
      </w:pPr>
    </w:p>
    <w:tbl>
      <w:tblPr>
        <w:tblW w:w="0" w:type="auto"/>
        <w:jc w:val="left"/>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0"/>
        <w:gridCol w:w="1683"/>
        <w:gridCol w:w="1750"/>
        <w:gridCol w:w="1606"/>
        <w:gridCol w:w="1789"/>
      </w:tblGrid>
      <w:tr>
        <w:trPr>
          <w:trHeight w:val="979" w:hRule="atLeast"/>
        </w:trPr>
        <w:tc>
          <w:tcPr>
            <w:tcW w:w="1880" w:type="dxa"/>
            <w:vMerge w:val="restart"/>
            <w:tcBorders>
              <w:left w:val="single" w:sz="8" w:space="0" w:color="000000"/>
            </w:tcBorders>
          </w:tcPr>
          <w:p>
            <w:pPr>
              <w:pStyle w:val="TableParagraph"/>
              <w:spacing w:line="283" w:lineRule="auto"/>
              <w:ind w:left="102" w:right="745" w:hanging="2"/>
              <w:rPr>
                <w:b/>
                <w:sz w:val="18"/>
              </w:rPr>
            </w:pPr>
            <w:r>
              <w:rPr>
                <w:b/>
                <w:color w:val="2F2F31"/>
                <w:w w:val="90"/>
                <w:sz w:val="18"/>
              </w:rPr>
              <w:t>Customs Act </w:t>
            </w:r>
            <w:r>
              <w:rPr>
                <w:b/>
                <w:color w:val="2F2F31"/>
                <w:sz w:val="18"/>
              </w:rPr>
              <w:t>offence</w:t>
            </w:r>
          </w:p>
        </w:tc>
        <w:tc>
          <w:tcPr>
            <w:tcW w:w="3433" w:type="dxa"/>
            <w:gridSpan w:val="2"/>
            <w:tcBorders>
              <w:right w:val="single" w:sz="8" w:space="0" w:color="000000"/>
            </w:tcBorders>
          </w:tcPr>
          <w:p>
            <w:pPr>
              <w:pStyle w:val="TableParagraph"/>
              <w:spacing w:line="288" w:lineRule="auto" w:before="28"/>
              <w:ind w:left="107" w:right="166" w:firstLine="3"/>
              <w:rPr>
                <w:sz w:val="18"/>
              </w:rPr>
            </w:pPr>
            <w:r>
              <w:rPr>
                <w:color w:val="2F2F31"/>
                <w:sz w:val="18"/>
              </w:rPr>
              <w:t>Offence and corresponding infringement notice scheme (INS) penalty for conduct that occurred</w:t>
            </w:r>
          </w:p>
          <w:p>
            <w:pPr>
              <w:pStyle w:val="TableParagraph"/>
              <w:spacing w:line="187" w:lineRule="exact" w:before="0"/>
              <w:ind w:left="112"/>
              <w:rPr>
                <w:sz w:val="18"/>
              </w:rPr>
            </w:pPr>
            <w:r>
              <w:rPr>
                <w:color w:val="2F2F31"/>
                <w:sz w:val="18"/>
              </w:rPr>
              <w:t>before28 December 2012</w:t>
            </w:r>
          </w:p>
        </w:tc>
        <w:tc>
          <w:tcPr>
            <w:tcW w:w="3395" w:type="dxa"/>
            <w:gridSpan w:val="2"/>
            <w:tcBorders>
              <w:left w:val="single" w:sz="8" w:space="0" w:color="000000"/>
              <w:right w:val="single" w:sz="8" w:space="0" w:color="000000"/>
            </w:tcBorders>
          </w:tcPr>
          <w:p>
            <w:pPr>
              <w:pStyle w:val="TableParagraph"/>
              <w:spacing w:line="283" w:lineRule="auto"/>
              <w:ind w:left="111" w:right="322" w:hanging="1"/>
              <w:rPr>
                <w:sz w:val="18"/>
              </w:rPr>
            </w:pPr>
            <w:r>
              <w:rPr>
                <w:color w:val="2F2F31"/>
                <w:w w:val="105"/>
                <w:sz w:val="18"/>
              </w:rPr>
              <w:t>Offence</w:t>
            </w:r>
            <w:r>
              <w:rPr>
                <w:color w:val="2F2F31"/>
                <w:spacing w:val="-20"/>
                <w:w w:val="105"/>
                <w:sz w:val="18"/>
              </w:rPr>
              <w:t> </w:t>
            </w:r>
            <w:r>
              <w:rPr>
                <w:color w:val="2F2F31"/>
                <w:w w:val="105"/>
                <w:sz w:val="18"/>
              </w:rPr>
              <w:t>and</w:t>
            </w:r>
            <w:r>
              <w:rPr>
                <w:color w:val="2F2F31"/>
                <w:spacing w:val="-29"/>
                <w:w w:val="105"/>
                <w:sz w:val="18"/>
              </w:rPr>
              <w:t> </w:t>
            </w:r>
            <w:r>
              <w:rPr>
                <w:color w:val="2F2F31"/>
                <w:w w:val="105"/>
                <w:sz w:val="18"/>
              </w:rPr>
              <w:t>INS</w:t>
            </w:r>
            <w:r>
              <w:rPr>
                <w:color w:val="2F2F31"/>
                <w:spacing w:val="-28"/>
                <w:w w:val="105"/>
                <w:sz w:val="18"/>
              </w:rPr>
              <w:t> </w:t>
            </w:r>
            <w:r>
              <w:rPr>
                <w:color w:val="2F2F31"/>
                <w:w w:val="105"/>
                <w:sz w:val="18"/>
              </w:rPr>
              <w:t>penalty</w:t>
            </w:r>
            <w:r>
              <w:rPr>
                <w:color w:val="2F2F31"/>
                <w:spacing w:val="-22"/>
                <w:w w:val="105"/>
                <w:sz w:val="18"/>
              </w:rPr>
              <w:t> </w:t>
            </w:r>
            <w:r>
              <w:rPr>
                <w:color w:val="2F2F31"/>
                <w:w w:val="105"/>
                <w:sz w:val="18"/>
              </w:rPr>
              <w:t>for</w:t>
            </w:r>
            <w:r>
              <w:rPr>
                <w:color w:val="2F2F31"/>
                <w:spacing w:val="-25"/>
                <w:w w:val="105"/>
                <w:sz w:val="18"/>
              </w:rPr>
              <w:t> </w:t>
            </w:r>
            <w:r>
              <w:rPr>
                <w:color w:val="2F2F31"/>
                <w:w w:val="105"/>
                <w:sz w:val="18"/>
              </w:rPr>
              <w:t>conduct that occurs on or</w:t>
            </w:r>
            <w:r>
              <w:rPr>
                <w:color w:val="2F2F31"/>
                <w:spacing w:val="-6"/>
                <w:w w:val="105"/>
                <w:sz w:val="18"/>
              </w:rPr>
              <w:t> </w:t>
            </w:r>
            <w:r>
              <w:rPr>
                <w:color w:val="2F2F31"/>
                <w:w w:val="105"/>
                <w:sz w:val="18"/>
              </w:rPr>
              <w:t>after</w:t>
            </w:r>
          </w:p>
          <w:p>
            <w:pPr>
              <w:pStyle w:val="TableParagraph"/>
              <w:spacing w:before="2"/>
              <w:ind w:left="119"/>
              <w:rPr>
                <w:sz w:val="18"/>
              </w:rPr>
            </w:pPr>
            <w:r>
              <w:rPr>
                <w:color w:val="2F2F31"/>
                <w:sz w:val="18"/>
              </w:rPr>
              <w:t>28 December 2012</w:t>
            </w:r>
          </w:p>
        </w:tc>
      </w:tr>
      <w:tr>
        <w:trPr>
          <w:trHeight w:val="239" w:hRule="atLeast"/>
        </w:trPr>
        <w:tc>
          <w:tcPr>
            <w:tcW w:w="1880" w:type="dxa"/>
            <w:vMerge/>
            <w:tcBorders>
              <w:top w:val="nil"/>
              <w:left w:val="single" w:sz="8" w:space="0" w:color="000000"/>
            </w:tcBorders>
          </w:tcPr>
          <w:p>
            <w:pPr>
              <w:rPr>
                <w:sz w:val="2"/>
                <w:szCs w:val="2"/>
              </w:rPr>
            </w:pPr>
          </w:p>
        </w:tc>
        <w:tc>
          <w:tcPr>
            <w:tcW w:w="1683" w:type="dxa"/>
          </w:tcPr>
          <w:p>
            <w:pPr>
              <w:pStyle w:val="TableParagraph"/>
              <w:spacing w:line="192" w:lineRule="exact" w:before="28"/>
              <w:ind w:left="116"/>
              <w:rPr>
                <w:b/>
                <w:sz w:val="18"/>
              </w:rPr>
            </w:pPr>
            <w:r>
              <w:rPr>
                <w:b/>
                <w:color w:val="2F2F31"/>
                <w:sz w:val="18"/>
              </w:rPr>
              <w:t>Natural Person</w:t>
            </w:r>
          </w:p>
        </w:tc>
        <w:tc>
          <w:tcPr>
            <w:tcW w:w="1750" w:type="dxa"/>
          </w:tcPr>
          <w:p>
            <w:pPr>
              <w:pStyle w:val="TableParagraph"/>
              <w:spacing w:line="187" w:lineRule="exact"/>
              <w:ind w:left="116"/>
              <w:rPr>
                <w:sz w:val="18"/>
              </w:rPr>
            </w:pPr>
            <w:r>
              <w:rPr>
                <w:color w:val="2F2F31"/>
                <w:sz w:val="18"/>
              </w:rPr>
              <w:t>Body Corporate</w:t>
            </w:r>
          </w:p>
        </w:tc>
        <w:tc>
          <w:tcPr>
            <w:tcW w:w="1606" w:type="dxa"/>
          </w:tcPr>
          <w:p>
            <w:pPr>
              <w:pStyle w:val="TableParagraph"/>
              <w:spacing w:line="187" w:lineRule="exact"/>
              <w:ind w:left="120"/>
              <w:rPr>
                <w:sz w:val="18"/>
              </w:rPr>
            </w:pPr>
            <w:r>
              <w:rPr>
                <w:color w:val="2F2F31"/>
                <w:sz w:val="18"/>
              </w:rPr>
              <w:t>Natural Person</w:t>
            </w:r>
          </w:p>
        </w:tc>
        <w:tc>
          <w:tcPr>
            <w:tcW w:w="1789" w:type="dxa"/>
          </w:tcPr>
          <w:p>
            <w:pPr>
              <w:pStyle w:val="TableParagraph"/>
              <w:spacing w:line="187" w:lineRule="exact"/>
              <w:ind w:left="111"/>
              <w:rPr>
                <w:b/>
                <w:sz w:val="18"/>
              </w:rPr>
            </w:pPr>
            <w:r>
              <w:rPr>
                <w:b/>
                <w:color w:val="2F2F31"/>
                <w:sz w:val="18"/>
              </w:rPr>
              <w:t>Body Corporate</w:t>
            </w:r>
          </w:p>
        </w:tc>
      </w:tr>
      <w:tr>
        <w:trPr>
          <w:trHeight w:val="261" w:hRule="atLeast"/>
        </w:trPr>
        <w:tc>
          <w:tcPr>
            <w:tcW w:w="1880" w:type="dxa"/>
            <w:tcBorders>
              <w:bottom w:val="nil"/>
            </w:tcBorders>
          </w:tcPr>
          <w:p>
            <w:pPr>
              <w:pStyle w:val="TableParagraph"/>
              <w:ind w:left="111"/>
              <w:rPr>
                <w:sz w:val="18"/>
              </w:rPr>
            </w:pPr>
            <w:r>
              <w:rPr>
                <w:color w:val="2F2F31"/>
                <w:sz w:val="18"/>
              </w:rPr>
              <w:t>Sections 33(2), (3)</w:t>
            </w:r>
          </w:p>
        </w:tc>
        <w:tc>
          <w:tcPr>
            <w:tcW w:w="1683" w:type="dxa"/>
            <w:tcBorders>
              <w:bottom w:val="nil"/>
            </w:tcBorders>
          </w:tcPr>
          <w:p>
            <w:pPr>
              <w:pStyle w:val="TableParagraph"/>
              <w:ind w:left="115"/>
              <w:rPr>
                <w:sz w:val="18"/>
              </w:rPr>
            </w:pPr>
            <w:r>
              <w:rPr>
                <w:color w:val="2F2F31"/>
                <w:sz w:val="18"/>
              </w:rPr>
              <w:t>Up to 60 penalty</w:t>
            </w:r>
          </w:p>
        </w:tc>
        <w:tc>
          <w:tcPr>
            <w:tcW w:w="1750" w:type="dxa"/>
            <w:tcBorders>
              <w:bottom w:val="nil"/>
            </w:tcBorders>
          </w:tcPr>
          <w:p>
            <w:pPr>
              <w:pStyle w:val="TableParagraph"/>
              <w:ind w:left="114"/>
              <w:rPr>
                <w:sz w:val="18"/>
              </w:rPr>
            </w:pPr>
            <w:r>
              <w:rPr>
                <w:color w:val="2F2F31"/>
                <w:sz w:val="18"/>
              </w:rPr>
              <w:t>Up to 300 penalty</w:t>
            </w:r>
          </w:p>
        </w:tc>
        <w:tc>
          <w:tcPr>
            <w:tcW w:w="1606" w:type="dxa"/>
            <w:tcBorders>
              <w:bottom w:val="nil"/>
            </w:tcBorders>
          </w:tcPr>
          <w:p>
            <w:pPr>
              <w:pStyle w:val="TableParagraph"/>
              <w:ind w:left="119"/>
              <w:rPr>
                <w:sz w:val="18"/>
              </w:rPr>
            </w:pPr>
            <w:r>
              <w:rPr>
                <w:color w:val="2F2F31"/>
                <w:sz w:val="18"/>
              </w:rPr>
              <w:t>Up to 60 penalty</w:t>
            </w:r>
          </w:p>
        </w:tc>
        <w:tc>
          <w:tcPr>
            <w:tcW w:w="1789" w:type="dxa"/>
            <w:tcBorders>
              <w:bottom w:val="nil"/>
            </w:tcBorders>
          </w:tcPr>
          <w:p>
            <w:pPr>
              <w:pStyle w:val="TableParagraph"/>
              <w:ind w:left="114"/>
              <w:rPr>
                <w:sz w:val="18"/>
              </w:rPr>
            </w:pPr>
            <w:r>
              <w:rPr>
                <w:color w:val="2F2F31"/>
                <w:sz w:val="18"/>
              </w:rPr>
              <w:t>Up to 300 penalty</w:t>
            </w:r>
          </w:p>
        </w:tc>
      </w:tr>
      <w:tr>
        <w:trPr>
          <w:trHeight w:val="247" w:hRule="atLeast"/>
        </w:trPr>
        <w:tc>
          <w:tcPr>
            <w:tcW w:w="1880" w:type="dxa"/>
            <w:tcBorders>
              <w:top w:val="nil"/>
              <w:bottom w:val="nil"/>
            </w:tcBorders>
          </w:tcPr>
          <w:p>
            <w:pPr>
              <w:pStyle w:val="TableParagraph"/>
              <w:spacing w:before="16"/>
              <w:ind w:left="118"/>
              <w:rPr>
                <w:sz w:val="18"/>
              </w:rPr>
            </w:pPr>
            <w:r>
              <w:rPr>
                <w:color w:val="2F2F31"/>
                <w:w w:val="105"/>
                <w:sz w:val="18"/>
              </w:rPr>
              <w:t>and (6) interfering</w:t>
            </w:r>
          </w:p>
        </w:tc>
        <w:tc>
          <w:tcPr>
            <w:tcW w:w="1683" w:type="dxa"/>
            <w:tcBorders>
              <w:top w:val="nil"/>
              <w:bottom w:val="nil"/>
            </w:tcBorders>
          </w:tcPr>
          <w:p>
            <w:pPr>
              <w:pStyle w:val="TableParagraph"/>
              <w:spacing w:before="16"/>
              <w:rPr>
                <w:sz w:val="18"/>
              </w:rPr>
            </w:pPr>
            <w:r>
              <w:rPr>
                <w:color w:val="2F2F31"/>
                <w:sz w:val="18"/>
              </w:rPr>
              <w:t>units ($6,600)</w:t>
            </w:r>
          </w:p>
        </w:tc>
        <w:tc>
          <w:tcPr>
            <w:tcW w:w="1750" w:type="dxa"/>
            <w:tcBorders>
              <w:top w:val="nil"/>
              <w:bottom w:val="nil"/>
            </w:tcBorders>
          </w:tcPr>
          <w:p>
            <w:pPr>
              <w:pStyle w:val="TableParagraph"/>
              <w:spacing w:line="207" w:lineRule="exact" w:before="21"/>
              <w:rPr>
                <w:sz w:val="18"/>
              </w:rPr>
            </w:pPr>
            <w:r>
              <w:rPr>
                <w:color w:val="2F2F31"/>
                <w:sz w:val="18"/>
              </w:rPr>
              <w:t>units ($33,000)</w:t>
            </w:r>
          </w:p>
        </w:tc>
        <w:tc>
          <w:tcPr>
            <w:tcW w:w="1606" w:type="dxa"/>
            <w:tcBorders>
              <w:top w:val="nil"/>
              <w:bottom w:val="nil"/>
              <w:right w:val="single" w:sz="8" w:space="0" w:color="000000"/>
            </w:tcBorders>
          </w:tcPr>
          <w:p>
            <w:pPr>
              <w:pStyle w:val="TableParagraph"/>
              <w:spacing w:before="16"/>
              <w:ind w:left="122"/>
              <w:rPr>
                <w:sz w:val="18"/>
              </w:rPr>
            </w:pPr>
            <w:r>
              <w:rPr>
                <w:color w:val="2F2F31"/>
                <w:sz w:val="18"/>
              </w:rPr>
              <w:t>units ($10,200)</w:t>
            </w:r>
          </w:p>
        </w:tc>
        <w:tc>
          <w:tcPr>
            <w:tcW w:w="1789" w:type="dxa"/>
            <w:tcBorders>
              <w:top w:val="nil"/>
              <w:left w:val="single" w:sz="8" w:space="0" w:color="000000"/>
              <w:bottom w:val="nil"/>
            </w:tcBorders>
          </w:tcPr>
          <w:p>
            <w:pPr>
              <w:pStyle w:val="TableParagraph"/>
              <w:spacing w:line="207" w:lineRule="exact" w:before="21"/>
              <w:ind w:left="107"/>
              <w:rPr>
                <w:sz w:val="18"/>
              </w:rPr>
            </w:pPr>
            <w:r>
              <w:rPr>
                <w:color w:val="2F2F31"/>
                <w:sz w:val="18"/>
              </w:rPr>
              <w:t>units ($51,000)</w:t>
            </w:r>
          </w:p>
        </w:tc>
      </w:tr>
      <w:tr>
        <w:trPr>
          <w:trHeight w:val="240" w:hRule="atLeast"/>
        </w:trPr>
        <w:tc>
          <w:tcPr>
            <w:tcW w:w="1880" w:type="dxa"/>
            <w:tcBorders>
              <w:top w:val="nil"/>
              <w:bottom w:val="nil"/>
            </w:tcBorders>
          </w:tcPr>
          <w:p>
            <w:pPr>
              <w:pStyle w:val="TableParagraph"/>
              <w:spacing w:line="207" w:lineRule="exact" w:before="13"/>
              <w:ind w:left="119"/>
              <w:rPr>
                <w:sz w:val="18"/>
              </w:rPr>
            </w:pPr>
            <w:r>
              <w:rPr>
                <w:color w:val="2F2F31"/>
                <w:sz w:val="18"/>
              </w:rPr>
              <w:t>with goods subject</w:t>
            </w:r>
          </w:p>
        </w:tc>
        <w:tc>
          <w:tcPr>
            <w:tcW w:w="1683" w:type="dxa"/>
            <w:tcBorders>
              <w:top w:val="nil"/>
              <w:bottom w:val="nil"/>
            </w:tcBorders>
          </w:tcPr>
          <w:p>
            <w:pPr>
              <w:pStyle w:val="TableParagraph"/>
              <w:spacing w:line="207" w:lineRule="exact" w:before="13"/>
              <w:ind w:left="112"/>
              <w:rPr>
                <w:sz w:val="18"/>
              </w:rPr>
            </w:pPr>
            <w:r>
              <w:rPr>
                <w:color w:val="2F2F31"/>
                <w:sz w:val="18"/>
              </w:rPr>
              <w:t>INS - 12 penalty</w:t>
            </w:r>
          </w:p>
        </w:tc>
        <w:tc>
          <w:tcPr>
            <w:tcW w:w="1750" w:type="dxa"/>
            <w:tcBorders>
              <w:top w:val="nil"/>
              <w:bottom w:val="nil"/>
            </w:tcBorders>
          </w:tcPr>
          <w:p>
            <w:pPr>
              <w:pStyle w:val="TableParagraph"/>
              <w:spacing w:line="207" w:lineRule="exact" w:before="13"/>
              <w:rPr>
                <w:sz w:val="18"/>
              </w:rPr>
            </w:pPr>
            <w:r>
              <w:rPr>
                <w:color w:val="2F2F31"/>
                <w:w w:val="105"/>
                <w:sz w:val="18"/>
              </w:rPr>
              <w:t>INS - 12 penalty</w:t>
            </w:r>
          </w:p>
        </w:tc>
        <w:tc>
          <w:tcPr>
            <w:tcW w:w="1606" w:type="dxa"/>
            <w:tcBorders>
              <w:top w:val="nil"/>
              <w:bottom w:val="nil"/>
              <w:right w:val="single" w:sz="8" w:space="0" w:color="000000"/>
            </w:tcBorders>
          </w:tcPr>
          <w:p>
            <w:pPr>
              <w:pStyle w:val="TableParagraph"/>
              <w:spacing w:line="207" w:lineRule="exact" w:before="13"/>
              <w:ind w:left="126"/>
              <w:rPr>
                <w:sz w:val="18"/>
              </w:rPr>
            </w:pPr>
            <w:r>
              <w:rPr>
                <w:b/>
                <w:color w:val="2F2F31"/>
                <w:sz w:val="18"/>
              </w:rPr>
              <w:t>INS </w:t>
            </w:r>
            <w:r>
              <w:rPr>
                <w:color w:val="2F2F31"/>
                <w:sz w:val="18"/>
              </w:rPr>
              <w:t>- 12 penalty</w:t>
            </w:r>
          </w:p>
        </w:tc>
        <w:tc>
          <w:tcPr>
            <w:tcW w:w="1789" w:type="dxa"/>
            <w:tcBorders>
              <w:top w:val="nil"/>
              <w:left w:val="single" w:sz="8" w:space="0" w:color="000000"/>
              <w:bottom w:val="nil"/>
            </w:tcBorders>
          </w:tcPr>
          <w:p>
            <w:pPr>
              <w:pStyle w:val="TableParagraph"/>
              <w:spacing w:line="207" w:lineRule="exact" w:before="13"/>
              <w:ind w:left="107"/>
              <w:rPr>
                <w:sz w:val="18"/>
              </w:rPr>
            </w:pPr>
            <w:r>
              <w:rPr>
                <w:color w:val="2F2F31"/>
                <w:sz w:val="18"/>
              </w:rPr>
              <w:t>INS - 12 penalty</w:t>
            </w:r>
          </w:p>
        </w:tc>
      </w:tr>
      <w:tr>
        <w:trPr>
          <w:trHeight w:val="220" w:hRule="atLeast"/>
        </w:trPr>
        <w:tc>
          <w:tcPr>
            <w:tcW w:w="1880" w:type="dxa"/>
            <w:tcBorders>
              <w:top w:val="nil"/>
            </w:tcBorders>
          </w:tcPr>
          <w:p>
            <w:pPr>
              <w:pStyle w:val="TableParagraph"/>
              <w:spacing w:line="182" w:lineRule="exact" w:before="18"/>
              <w:rPr>
                <w:sz w:val="18"/>
              </w:rPr>
            </w:pPr>
            <w:r>
              <w:rPr>
                <w:color w:val="2F2F31"/>
                <w:sz w:val="18"/>
              </w:rPr>
              <w:t>to Customs control</w:t>
            </w:r>
          </w:p>
        </w:tc>
        <w:tc>
          <w:tcPr>
            <w:tcW w:w="1683" w:type="dxa"/>
            <w:tcBorders>
              <w:top w:val="nil"/>
            </w:tcBorders>
          </w:tcPr>
          <w:p>
            <w:pPr>
              <w:pStyle w:val="TableParagraph"/>
              <w:spacing w:line="187" w:lineRule="exact" w:before="13"/>
              <w:rPr>
                <w:sz w:val="18"/>
              </w:rPr>
            </w:pPr>
            <w:r>
              <w:rPr>
                <w:color w:val="2F2F31"/>
                <w:sz w:val="18"/>
              </w:rPr>
              <w:t>units ($1,320)</w:t>
            </w:r>
          </w:p>
        </w:tc>
        <w:tc>
          <w:tcPr>
            <w:tcW w:w="1750" w:type="dxa"/>
            <w:tcBorders>
              <w:top w:val="nil"/>
              <w:bottom w:val="single" w:sz="8" w:space="0" w:color="000000"/>
            </w:tcBorders>
          </w:tcPr>
          <w:p>
            <w:pPr>
              <w:pStyle w:val="TableParagraph"/>
              <w:spacing w:line="177" w:lineRule="exact" w:before="23"/>
              <w:ind w:left="122"/>
              <w:rPr>
                <w:sz w:val="18"/>
              </w:rPr>
            </w:pPr>
            <w:r>
              <w:rPr>
                <w:color w:val="2F2F31"/>
                <w:sz w:val="18"/>
              </w:rPr>
              <w:t>units ($1,320)</w:t>
            </w:r>
          </w:p>
        </w:tc>
        <w:tc>
          <w:tcPr>
            <w:tcW w:w="1606" w:type="dxa"/>
            <w:tcBorders>
              <w:top w:val="nil"/>
            </w:tcBorders>
          </w:tcPr>
          <w:p>
            <w:pPr>
              <w:pStyle w:val="TableParagraph"/>
              <w:spacing w:line="182" w:lineRule="exact" w:before="18"/>
              <w:ind w:left="122"/>
              <w:rPr>
                <w:sz w:val="18"/>
              </w:rPr>
            </w:pPr>
            <w:r>
              <w:rPr>
                <w:color w:val="2F2F31"/>
                <w:sz w:val="18"/>
              </w:rPr>
              <w:t>units ($2,040)</w:t>
            </w:r>
          </w:p>
        </w:tc>
        <w:tc>
          <w:tcPr>
            <w:tcW w:w="1789" w:type="dxa"/>
            <w:tcBorders>
              <w:top w:val="nil"/>
            </w:tcBorders>
          </w:tcPr>
          <w:p>
            <w:pPr>
              <w:pStyle w:val="TableParagraph"/>
              <w:spacing w:line="182" w:lineRule="exact" w:before="18"/>
              <w:rPr>
                <w:sz w:val="18"/>
              </w:rPr>
            </w:pPr>
            <w:r>
              <w:rPr>
                <w:color w:val="2F2F31"/>
                <w:sz w:val="18"/>
              </w:rPr>
              <w:t>units ($2,040)</w:t>
            </w:r>
          </w:p>
        </w:tc>
      </w:tr>
      <w:tr>
        <w:trPr>
          <w:trHeight w:val="259" w:hRule="atLeast"/>
        </w:trPr>
        <w:tc>
          <w:tcPr>
            <w:tcW w:w="1880" w:type="dxa"/>
            <w:tcBorders>
              <w:bottom w:val="nil"/>
              <w:right w:val="single" w:sz="8" w:space="0" w:color="000000"/>
            </w:tcBorders>
          </w:tcPr>
          <w:p>
            <w:pPr>
              <w:pStyle w:val="TableParagraph"/>
              <w:spacing w:before="28"/>
              <w:ind w:left="116"/>
              <w:rPr>
                <w:rFonts w:ascii="Times New Roman"/>
                <w:sz w:val="18"/>
              </w:rPr>
            </w:pPr>
            <w:r>
              <w:rPr>
                <w:color w:val="2F2F31"/>
                <w:w w:val="105"/>
                <w:sz w:val="18"/>
              </w:rPr>
              <w:t>Section </w:t>
            </w:r>
            <w:r>
              <w:rPr>
                <w:rFonts w:ascii="Times New Roman"/>
                <w:color w:val="2F2F31"/>
                <w:w w:val="105"/>
                <w:sz w:val="18"/>
              </w:rPr>
              <w:t>77R(l)</w:t>
            </w:r>
          </w:p>
        </w:tc>
        <w:tc>
          <w:tcPr>
            <w:tcW w:w="1683" w:type="dxa"/>
            <w:tcBorders>
              <w:left w:val="single" w:sz="8" w:space="0" w:color="000000"/>
              <w:bottom w:val="nil"/>
            </w:tcBorders>
          </w:tcPr>
          <w:p>
            <w:pPr>
              <w:pStyle w:val="TableParagraph"/>
              <w:spacing w:before="28"/>
              <w:ind w:left="115"/>
              <w:rPr>
                <w:sz w:val="18"/>
              </w:rPr>
            </w:pPr>
            <w:r>
              <w:rPr>
                <w:color w:val="2F2F31"/>
                <w:sz w:val="18"/>
              </w:rPr>
              <w:t>Up to </w:t>
            </w:r>
            <w:r>
              <w:rPr>
                <w:color w:val="2F2F31"/>
                <w:sz w:val="17"/>
              </w:rPr>
              <w:t>SO </w:t>
            </w:r>
            <w:r>
              <w:rPr>
                <w:color w:val="2F2F31"/>
                <w:sz w:val="18"/>
              </w:rPr>
              <w:t>penalty</w:t>
            </w:r>
          </w:p>
        </w:tc>
        <w:tc>
          <w:tcPr>
            <w:tcW w:w="1750" w:type="dxa"/>
            <w:tcBorders>
              <w:top w:val="single" w:sz="8" w:space="0" w:color="000000"/>
              <w:bottom w:val="nil"/>
            </w:tcBorders>
          </w:tcPr>
          <w:p>
            <w:pPr>
              <w:pStyle w:val="TableParagraph"/>
              <w:spacing w:line="207" w:lineRule="exact"/>
              <w:ind w:left="119"/>
              <w:rPr>
                <w:sz w:val="18"/>
              </w:rPr>
            </w:pPr>
            <w:r>
              <w:rPr>
                <w:color w:val="2F2F31"/>
                <w:sz w:val="18"/>
              </w:rPr>
              <w:t>Up to 250 penalty</w:t>
            </w:r>
          </w:p>
        </w:tc>
        <w:tc>
          <w:tcPr>
            <w:tcW w:w="1606" w:type="dxa"/>
            <w:tcBorders>
              <w:bottom w:val="nil"/>
            </w:tcBorders>
          </w:tcPr>
          <w:p>
            <w:pPr>
              <w:pStyle w:val="TableParagraph"/>
              <w:spacing w:before="28"/>
              <w:ind w:left="124"/>
              <w:rPr>
                <w:sz w:val="18"/>
              </w:rPr>
            </w:pPr>
            <w:r>
              <w:rPr>
                <w:color w:val="2F2F31"/>
                <w:sz w:val="18"/>
              </w:rPr>
              <w:t>Up to </w:t>
            </w:r>
            <w:r>
              <w:rPr>
                <w:color w:val="2F2F31"/>
                <w:sz w:val="17"/>
              </w:rPr>
              <w:t>SO </w:t>
            </w:r>
            <w:r>
              <w:rPr>
                <w:color w:val="2F2F31"/>
                <w:sz w:val="18"/>
              </w:rPr>
              <w:t>penalty</w:t>
            </w:r>
          </w:p>
        </w:tc>
        <w:tc>
          <w:tcPr>
            <w:tcW w:w="1789" w:type="dxa"/>
            <w:tcBorders>
              <w:bottom w:val="nil"/>
            </w:tcBorders>
          </w:tcPr>
          <w:p>
            <w:pPr>
              <w:pStyle w:val="TableParagraph"/>
              <w:spacing w:before="28"/>
              <w:ind w:left="114"/>
              <w:rPr>
                <w:sz w:val="18"/>
              </w:rPr>
            </w:pPr>
            <w:r>
              <w:rPr>
                <w:color w:val="2F2F31"/>
                <w:sz w:val="18"/>
              </w:rPr>
              <w:t>Up to 250 penalty</w:t>
            </w:r>
          </w:p>
        </w:tc>
      </w:tr>
      <w:tr>
        <w:trPr>
          <w:trHeight w:val="247" w:hRule="atLeast"/>
        </w:trPr>
        <w:tc>
          <w:tcPr>
            <w:tcW w:w="1880" w:type="dxa"/>
            <w:tcBorders>
              <w:top w:val="nil"/>
              <w:bottom w:val="nil"/>
              <w:right w:val="single" w:sz="8" w:space="0" w:color="000000"/>
            </w:tcBorders>
          </w:tcPr>
          <w:p>
            <w:pPr>
              <w:pStyle w:val="TableParagraph"/>
              <w:spacing w:before="13"/>
              <w:ind w:left="121"/>
              <w:rPr>
                <w:sz w:val="18"/>
              </w:rPr>
            </w:pPr>
            <w:r>
              <w:rPr>
                <w:color w:val="2F2F31"/>
                <w:sz w:val="18"/>
              </w:rPr>
              <w:t>Breach of conditions</w:t>
            </w:r>
          </w:p>
        </w:tc>
        <w:tc>
          <w:tcPr>
            <w:tcW w:w="1683" w:type="dxa"/>
            <w:tcBorders>
              <w:top w:val="nil"/>
              <w:left w:val="single" w:sz="8" w:space="0" w:color="000000"/>
              <w:bottom w:val="nil"/>
            </w:tcBorders>
          </w:tcPr>
          <w:p>
            <w:pPr>
              <w:pStyle w:val="TableParagraph"/>
              <w:spacing w:before="13"/>
              <w:rPr>
                <w:sz w:val="18"/>
              </w:rPr>
            </w:pPr>
            <w:r>
              <w:rPr>
                <w:color w:val="2F2F31"/>
                <w:sz w:val="18"/>
              </w:rPr>
              <w:t>units ($5,500)</w:t>
            </w:r>
          </w:p>
        </w:tc>
        <w:tc>
          <w:tcPr>
            <w:tcW w:w="1750" w:type="dxa"/>
            <w:tcBorders>
              <w:top w:val="nil"/>
              <w:bottom w:val="nil"/>
            </w:tcBorders>
          </w:tcPr>
          <w:p>
            <w:pPr>
              <w:pStyle w:val="TableParagraph"/>
              <w:spacing w:before="18"/>
              <w:ind w:left="122"/>
              <w:rPr>
                <w:sz w:val="18"/>
              </w:rPr>
            </w:pPr>
            <w:r>
              <w:rPr>
                <w:color w:val="2F2F31"/>
                <w:sz w:val="18"/>
              </w:rPr>
              <w:t>units ($27,500)</w:t>
            </w:r>
          </w:p>
        </w:tc>
        <w:tc>
          <w:tcPr>
            <w:tcW w:w="1606" w:type="dxa"/>
            <w:tcBorders>
              <w:top w:val="nil"/>
              <w:bottom w:val="nil"/>
            </w:tcBorders>
          </w:tcPr>
          <w:p>
            <w:pPr>
              <w:pStyle w:val="TableParagraph"/>
              <w:spacing w:before="13"/>
              <w:ind w:left="127"/>
              <w:rPr>
                <w:sz w:val="18"/>
              </w:rPr>
            </w:pPr>
            <w:r>
              <w:rPr>
                <w:color w:val="2F2F31"/>
                <w:sz w:val="18"/>
              </w:rPr>
              <w:t>units ($8,500)</w:t>
            </w:r>
          </w:p>
        </w:tc>
        <w:tc>
          <w:tcPr>
            <w:tcW w:w="1789" w:type="dxa"/>
            <w:tcBorders>
              <w:top w:val="nil"/>
              <w:bottom w:val="nil"/>
            </w:tcBorders>
          </w:tcPr>
          <w:p>
            <w:pPr>
              <w:pStyle w:val="TableParagraph"/>
              <w:spacing w:before="13"/>
              <w:rPr>
                <w:sz w:val="18"/>
              </w:rPr>
            </w:pPr>
            <w:r>
              <w:rPr>
                <w:color w:val="2F2F31"/>
                <w:sz w:val="18"/>
              </w:rPr>
              <w:t>units ($42,500)</w:t>
            </w:r>
          </w:p>
        </w:tc>
      </w:tr>
      <w:tr>
        <w:trPr>
          <w:trHeight w:val="247" w:hRule="atLeast"/>
        </w:trPr>
        <w:tc>
          <w:tcPr>
            <w:tcW w:w="1880" w:type="dxa"/>
            <w:tcBorders>
              <w:top w:val="nil"/>
              <w:bottom w:val="nil"/>
              <w:right w:val="single" w:sz="8" w:space="0" w:color="000000"/>
            </w:tcBorders>
          </w:tcPr>
          <w:p>
            <w:pPr>
              <w:pStyle w:val="TableParagraph"/>
              <w:spacing w:before="16"/>
              <w:ind w:left="123"/>
              <w:rPr>
                <w:sz w:val="18"/>
              </w:rPr>
            </w:pPr>
            <w:r>
              <w:rPr>
                <w:color w:val="2F2F31"/>
                <w:sz w:val="18"/>
              </w:rPr>
              <w:t>of a depot licence</w:t>
            </w:r>
          </w:p>
        </w:tc>
        <w:tc>
          <w:tcPr>
            <w:tcW w:w="1683" w:type="dxa"/>
            <w:tcBorders>
              <w:top w:val="nil"/>
              <w:left w:val="single" w:sz="8" w:space="0" w:color="000000"/>
              <w:bottom w:val="nil"/>
            </w:tcBorders>
          </w:tcPr>
          <w:p>
            <w:pPr>
              <w:pStyle w:val="TableParagraph"/>
              <w:spacing w:before="16"/>
              <w:rPr>
                <w:sz w:val="18"/>
              </w:rPr>
            </w:pPr>
            <w:r>
              <w:rPr>
                <w:b/>
                <w:color w:val="2F2F31"/>
                <w:sz w:val="18"/>
              </w:rPr>
              <w:t>INS </w:t>
            </w:r>
            <w:r>
              <w:rPr>
                <w:color w:val="2F2F31"/>
                <w:sz w:val="18"/>
              </w:rPr>
              <w:t>- 10 penalty</w:t>
            </w:r>
          </w:p>
        </w:tc>
        <w:tc>
          <w:tcPr>
            <w:tcW w:w="1750" w:type="dxa"/>
            <w:tcBorders>
              <w:top w:val="nil"/>
              <w:bottom w:val="nil"/>
            </w:tcBorders>
          </w:tcPr>
          <w:p>
            <w:pPr>
              <w:pStyle w:val="TableParagraph"/>
              <w:spacing w:before="16"/>
              <w:rPr>
                <w:sz w:val="18"/>
              </w:rPr>
            </w:pPr>
            <w:r>
              <w:rPr>
                <w:color w:val="2F2F31"/>
                <w:w w:val="105"/>
                <w:sz w:val="18"/>
              </w:rPr>
              <w:t>INS - 10 penalty</w:t>
            </w:r>
          </w:p>
        </w:tc>
        <w:tc>
          <w:tcPr>
            <w:tcW w:w="1606" w:type="dxa"/>
            <w:tcBorders>
              <w:top w:val="nil"/>
              <w:bottom w:val="nil"/>
            </w:tcBorders>
          </w:tcPr>
          <w:p>
            <w:pPr>
              <w:pStyle w:val="TableParagraph"/>
              <w:spacing w:before="16"/>
              <w:ind w:left="126"/>
              <w:rPr>
                <w:sz w:val="18"/>
              </w:rPr>
            </w:pPr>
            <w:r>
              <w:rPr>
                <w:b/>
                <w:color w:val="2F2F31"/>
                <w:w w:val="105"/>
                <w:sz w:val="18"/>
              </w:rPr>
              <w:t>INS </w:t>
            </w:r>
            <w:r>
              <w:rPr>
                <w:color w:val="2F2F31"/>
                <w:w w:val="105"/>
                <w:sz w:val="18"/>
              </w:rPr>
              <w:t>- 10 penalty</w:t>
            </w:r>
          </w:p>
        </w:tc>
        <w:tc>
          <w:tcPr>
            <w:tcW w:w="1789" w:type="dxa"/>
            <w:tcBorders>
              <w:top w:val="nil"/>
              <w:bottom w:val="nil"/>
              <w:right w:val="single" w:sz="8" w:space="0" w:color="000000"/>
            </w:tcBorders>
          </w:tcPr>
          <w:p>
            <w:pPr>
              <w:pStyle w:val="TableParagraph"/>
              <w:spacing w:before="16"/>
              <w:ind w:left="121"/>
              <w:rPr>
                <w:sz w:val="18"/>
              </w:rPr>
            </w:pPr>
            <w:r>
              <w:rPr>
                <w:b/>
                <w:color w:val="2F2F31"/>
                <w:w w:val="105"/>
                <w:sz w:val="18"/>
              </w:rPr>
              <w:t>INS </w:t>
            </w:r>
            <w:r>
              <w:rPr>
                <w:color w:val="2F2F31"/>
                <w:w w:val="105"/>
                <w:sz w:val="18"/>
              </w:rPr>
              <w:t>- 10 penalty</w:t>
            </w:r>
          </w:p>
        </w:tc>
      </w:tr>
      <w:tr>
        <w:trPr>
          <w:trHeight w:val="225" w:hRule="atLeast"/>
        </w:trPr>
        <w:tc>
          <w:tcPr>
            <w:tcW w:w="1880" w:type="dxa"/>
            <w:tcBorders>
              <w:top w:val="nil"/>
            </w:tcBorders>
          </w:tcPr>
          <w:p>
            <w:pPr>
              <w:pStyle w:val="TableParagraph"/>
              <w:spacing w:before="0"/>
              <w:ind w:left="0"/>
              <w:rPr>
                <w:rFonts w:ascii="Times New Roman"/>
                <w:sz w:val="16"/>
              </w:rPr>
            </w:pPr>
          </w:p>
        </w:tc>
        <w:tc>
          <w:tcPr>
            <w:tcW w:w="1683" w:type="dxa"/>
            <w:tcBorders>
              <w:top w:val="nil"/>
            </w:tcBorders>
          </w:tcPr>
          <w:p>
            <w:pPr>
              <w:pStyle w:val="TableParagraph"/>
              <w:spacing w:line="187" w:lineRule="exact" w:before="18"/>
              <w:ind w:left="122"/>
              <w:rPr>
                <w:sz w:val="18"/>
              </w:rPr>
            </w:pPr>
            <w:r>
              <w:rPr>
                <w:color w:val="2F2F31"/>
                <w:sz w:val="18"/>
              </w:rPr>
              <w:t>units ($1,100)</w:t>
            </w:r>
          </w:p>
        </w:tc>
        <w:tc>
          <w:tcPr>
            <w:tcW w:w="1750" w:type="dxa"/>
            <w:tcBorders>
              <w:top w:val="nil"/>
              <w:right w:val="single" w:sz="8" w:space="0" w:color="000000"/>
            </w:tcBorders>
          </w:tcPr>
          <w:p>
            <w:pPr>
              <w:pStyle w:val="TableParagraph"/>
              <w:spacing w:line="182" w:lineRule="exact" w:before="23"/>
              <w:ind w:left="122"/>
              <w:rPr>
                <w:sz w:val="18"/>
              </w:rPr>
            </w:pPr>
            <w:r>
              <w:rPr>
                <w:color w:val="2F2F31"/>
                <w:sz w:val="18"/>
              </w:rPr>
              <w:t>units ($1</w:t>
            </w:r>
            <w:r>
              <w:rPr>
                <w:color w:val="5E5248"/>
                <w:sz w:val="18"/>
              </w:rPr>
              <w:t>,</w:t>
            </w:r>
            <w:r>
              <w:rPr>
                <w:color w:val="2F2F31"/>
                <w:sz w:val="18"/>
              </w:rPr>
              <w:t>100)</w:t>
            </w:r>
          </w:p>
        </w:tc>
        <w:tc>
          <w:tcPr>
            <w:tcW w:w="1606" w:type="dxa"/>
            <w:tcBorders>
              <w:top w:val="nil"/>
              <w:left w:val="single" w:sz="8" w:space="0" w:color="000000"/>
            </w:tcBorders>
          </w:tcPr>
          <w:p>
            <w:pPr>
              <w:pStyle w:val="TableParagraph"/>
              <w:spacing w:line="187" w:lineRule="exact" w:before="18"/>
              <w:ind w:left="122"/>
              <w:rPr>
                <w:sz w:val="18"/>
              </w:rPr>
            </w:pPr>
            <w:r>
              <w:rPr>
                <w:color w:val="2F2F31"/>
                <w:w w:val="105"/>
                <w:sz w:val="18"/>
              </w:rPr>
              <w:t>units ($1</w:t>
            </w:r>
            <w:r>
              <w:rPr>
                <w:color w:val="4D4B64"/>
                <w:w w:val="105"/>
                <w:sz w:val="18"/>
              </w:rPr>
              <w:t>,</w:t>
            </w:r>
            <w:r>
              <w:rPr>
                <w:color w:val="2F2F31"/>
                <w:w w:val="105"/>
                <w:sz w:val="18"/>
              </w:rPr>
              <w:t>700)</w:t>
            </w:r>
          </w:p>
        </w:tc>
        <w:tc>
          <w:tcPr>
            <w:tcW w:w="1789" w:type="dxa"/>
            <w:tcBorders>
              <w:top w:val="nil"/>
              <w:right w:val="single" w:sz="8" w:space="0" w:color="000000"/>
            </w:tcBorders>
          </w:tcPr>
          <w:p>
            <w:pPr>
              <w:pStyle w:val="TableParagraph"/>
              <w:spacing w:line="187" w:lineRule="exact" w:before="18"/>
              <w:rPr>
                <w:sz w:val="18"/>
              </w:rPr>
            </w:pPr>
            <w:r>
              <w:rPr>
                <w:color w:val="2F2F31"/>
                <w:w w:val="105"/>
                <w:sz w:val="18"/>
              </w:rPr>
              <w:t>units ($1</w:t>
            </w:r>
            <w:r>
              <w:rPr>
                <w:color w:val="4D4B64"/>
                <w:w w:val="105"/>
                <w:sz w:val="18"/>
              </w:rPr>
              <w:t>,</w:t>
            </w:r>
            <w:r>
              <w:rPr>
                <w:color w:val="2F2F31"/>
                <w:w w:val="105"/>
                <w:sz w:val="18"/>
              </w:rPr>
              <w:t>700)</w:t>
            </w:r>
          </w:p>
        </w:tc>
      </w:tr>
    </w:tbl>
    <w:p>
      <w:pPr>
        <w:pStyle w:val="BodyText"/>
        <w:spacing w:before="8"/>
        <w:rPr>
          <w:sz w:val="21"/>
        </w:rPr>
      </w:pPr>
    </w:p>
    <w:p>
      <w:pPr>
        <w:pStyle w:val="BodyText"/>
        <w:ind w:left="747"/>
      </w:pPr>
      <w:r>
        <w:rPr>
          <w:color w:val="2F2F31"/>
          <w:w w:val="105"/>
        </w:rPr>
        <w:t>You may direct any enquiries about this notice to </w:t>
      </w:r>
      <w:hyperlink r:id="rId6">
        <w:r>
          <w:rPr>
            <w:color w:val="2F2F31"/>
            <w:w w:val="105"/>
          </w:rPr>
          <w:t>compliance1@customs.gov.au.</w:t>
        </w:r>
      </w:hyperlink>
    </w:p>
    <w:p>
      <w:pPr>
        <w:pStyle w:val="BodyText"/>
        <w:rPr>
          <w:sz w:val="20"/>
        </w:rPr>
      </w:pPr>
    </w:p>
    <w:p>
      <w:pPr>
        <w:pStyle w:val="BodyText"/>
        <w:spacing w:before="8"/>
        <w:rPr>
          <w:sz w:val="20"/>
        </w:rPr>
      </w:pPr>
    </w:p>
    <w:p>
      <w:pPr>
        <w:pStyle w:val="BodyText"/>
        <w:ind w:left="744"/>
      </w:pPr>
      <w:r>
        <w:rPr>
          <w:color w:val="2F2F31"/>
          <w:w w:val="105"/>
        </w:rPr>
        <w:t>[signed]</w:t>
      </w:r>
    </w:p>
    <w:p>
      <w:pPr>
        <w:pStyle w:val="BodyText"/>
        <w:spacing w:before="13"/>
        <w:ind w:left="753"/>
      </w:pPr>
      <w:r>
        <w:rPr>
          <w:color w:val="2F2F31"/>
          <w:w w:val="105"/>
        </w:rPr>
        <w:t>Anthony</w:t>
      </w:r>
      <w:r>
        <w:rPr>
          <w:color w:val="2F2F31"/>
          <w:spacing w:val="-27"/>
          <w:w w:val="105"/>
        </w:rPr>
        <w:t> </w:t>
      </w:r>
      <w:r>
        <w:rPr>
          <w:color w:val="2F2F31"/>
          <w:w w:val="105"/>
        </w:rPr>
        <w:t>Seebach</w:t>
      </w:r>
    </w:p>
    <w:p>
      <w:pPr>
        <w:pStyle w:val="BodyText"/>
        <w:spacing w:line="242" w:lineRule="auto" w:before="12"/>
        <w:ind w:left="745" w:right="4963" w:firstLine="2"/>
      </w:pPr>
      <w:r>
        <w:rPr>
          <w:color w:val="2F2F31"/>
          <w:w w:val="105"/>
        </w:rPr>
        <w:t>National Manager Compliance</w:t>
      </w:r>
      <w:r>
        <w:rPr>
          <w:color w:val="2F2F31"/>
          <w:spacing w:val="-23"/>
          <w:w w:val="105"/>
        </w:rPr>
        <w:t> </w:t>
      </w:r>
      <w:r>
        <w:rPr>
          <w:color w:val="2F2F31"/>
          <w:w w:val="105"/>
        </w:rPr>
        <w:t>Assurance 6 December</w:t>
      </w:r>
      <w:r>
        <w:rPr>
          <w:color w:val="2F2F31"/>
          <w:spacing w:val="12"/>
          <w:w w:val="105"/>
        </w:rPr>
        <w:t> </w:t>
      </w:r>
      <w:r>
        <w:rPr>
          <w:color w:val="2F2F31"/>
          <w:w w:val="105"/>
        </w:rPr>
        <w:t>2012</w:t>
      </w:r>
    </w:p>
    <w:sectPr>
      <w:type w:val="continuous"/>
      <w:pgSz w:w="11800" w:h="16770"/>
      <w:pgMar w:top="1140" w:bottom="280" w:left="9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ind w:left="714" w:right="328" w:hanging="3322"/>
    </w:pPr>
    <w:rPr>
      <w:rFonts w:ascii="Arial" w:hAnsi="Arial" w:eastAsia="Arial" w:cs="Arial"/>
      <w:b/>
      <w:bCs/>
      <w:sz w:val="27"/>
      <w:szCs w:val="27"/>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32"/>
      <w:ind w:left="11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compliance1@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2020-12-09T23:09:59Z</dcterms:created>
  <dcterms:modified xsi:type="dcterms:W3CDTF">2020-12-09T23:09:59Z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2004-10-29T00:00:00Z</vt:filetime>
  </property>
  <property fmtid="{D5CDD505-2E9C-101B-9397-08002B2CF9AE}" pid="3" name="Creator">
    <vt:lpwstr>Canon </vt:lpwstr>
  </property>
  <property fmtid="{D5CDD505-2E9C-101B-9397-08002B2CF9AE}" pid="4" name="LastSaved">
    <vt:filetime>2004-10-29T00:00:00Z</vt:filetime>
  </property>
</Properties>
</file>