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1"/>
        </w:rPr>
      </w:pPr>
      <w:r>
        <w:rPr/>
        <w:pict>
          <v:line style="position:absolute;mso-position-horizontal-relative:page;mso-position-vertical-relative:page;z-index:15730176" from=".240377pt,737.684392pt" to=".240377pt,106.757454pt" stroked="true" strokeweight=".72113pt" strokecolor="#000000">
            <v:stroke dashstyle="solid"/>
            <w10:wrap type="none"/>
          </v:line>
        </w:pict>
      </w:r>
      <w:r>
        <w:rPr/>
        <w:pict>
          <v:line style="position:absolute;mso-position-horizontal-relative:page;mso-position-vertical-relative:page;z-index:-15757824" from="14.422594pt,138.977051pt" to="586.518826pt,138.977051pt" stroked="true" strokeweight="6.972897pt" strokecolor="#000000">
            <v:stroke dashstyle="solid"/>
            <w10:wrap type="none"/>
          </v:line>
        </w:pict>
      </w:r>
      <w:r>
        <w:rPr/>
        <w:pict>
          <v:line style="position:absolute;mso-position-horizontal-relative:page;mso-position-vertical-relative:page;z-index:15731200" from="0pt,842.758728pt" to="599.979913pt,842.758728pt" stroked="true" strokeweight="1.683113pt" strokecolor="#000000">
            <v:stroke dashstyle="solid"/>
            <w10:wrap type="none"/>
          </v:line>
        </w:pict>
      </w:r>
    </w:p>
    <w:p>
      <w:pPr>
        <w:pStyle w:val="Title"/>
        <w:rPr>
          <w:u w:val="none"/>
        </w:rPr>
      </w:pPr>
      <w:r>
        <w:rPr/>
        <w:drawing>
          <wp:anchor distT="0" distB="0" distL="0" distR="0" allowOverlap="1" layoutInCell="1" locked="0" behindDoc="0" simplePos="0" relativeHeight="15729152">
            <wp:simplePos x="0" y="0"/>
            <wp:positionH relativeFrom="page">
              <wp:posOffset>708245</wp:posOffset>
            </wp:positionH>
            <wp:positionV relativeFrom="paragraph">
              <wp:posOffset>-88963</wp:posOffset>
            </wp:positionV>
            <wp:extent cx="879200" cy="62294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9200" cy="622944"/>
                    </a:xfrm>
                    <a:prstGeom prst="rect">
                      <a:avLst/>
                    </a:prstGeom>
                  </pic:spPr>
                </pic:pic>
              </a:graphicData>
            </a:graphic>
          </wp:anchor>
        </w:drawing>
      </w:r>
      <w:r>
        <w:rPr>
          <w:color w:val="46527C"/>
          <w:w w:val="90"/>
          <w:u w:val="thick" w:color="46527C"/>
        </w:rPr>
        <w:t>Australian</w:t>
      </w:r>
      <w:r>
        <w:rPr>
          <w:color w:val="46527C"/>
          <w:spacing w:val="41"/>
          <w:w w:val="90"/>
          <w:u w:val="thick" w:color="46527C"/>
        </w:rPr>
        <w:t> </w:t>
      </w:r>
      <w:r>
        <w:rPr>
          <w:color w:val="46527C"/>
          <w:w w:val="90"/>
          <w:u w:val="thick" w:color="46527C"/>
        </w:rPr>
        <w:t>Government</w:t>
      </w:r>
    </w:p>
    <w:p>
      <w:pPr>
        <w:spacing w:line="252" w:lineRule="auto" w:before="129"/>
        <w:ind w:left="1624" w:right="4589" w:firstLine="3"/>
        <w:jc w:val="left"/>
        <w:rPr>
          <w:rFonts w:ascii="Times New Roman"/>
          <w:b/>
          <w:sz w:val="25"/>
        </w:rPr>
      </w:pPr>
      <w:r>
        <w:rPr>
          <w:rFonts w:ascii="Times New Roman"/>
          <w:b/>
          <w:color w:val="46527C"/>
          <w:sz w:val="25"/>
        </w:rPr>
        <w:t>Australian Customs and </w:t>
      </w:r>
      <w:r>
        <w:rPr>
          <w:rFonts w:ascii="Times New Roman"/>
          <w:b/>
          <w:color w:val="46527C"/>
          <w:w w:val="95"/>
          <w:sz w:val="25"/>
        </w:rPr>
        <w:t>Border Protection</w:t>
      </w:r>
      <w:r>
        <w:rPr>
          <w:rFonts w:ascii="Times New Roman"/>
          <w:b/>
          <w:color w:val="46527C"/>
          <w:spacing w:val="10"/>
          <w:w w:val="95"/>
          <w:sz w:val="25"/>
        </w:rPr>
        <w:t> </w:t>
      </w:r>
      <w:r>
        <w:rPr>
          <w:rFonts w:ascii="Times New Roman"/>
          <w:b/>
          <w:color w:val="46527C"/>
          <w:w w:val="95"/>
          <w:sz w:val="25"/>
        </w:rPr>
        <w:t>Service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5"/>
        </w:rPr>
      </w:pPr>
    </w:p>
    <w:p>
      <w:pPr>
        <w:spacing w:line="256" w:lineRule="auto" w:before="93"/>
        <w:ind w:left="1413" w:right="909" w:firstLine="0"/>
        <w:jc w:val="center"/>
        <w:rPr>
          <w:b/>
          <w:sz w:val="23"/>
        </w:rPr>
      </w:pPr>
      <w:r>
        <w:rPr/>
        <w:pict>
          <v:shape style="position:absolute;margin-left:89.420082pt;margin-top:39.000511pt;width:427.9pt;height:.1pt;mso-position-horizontal-relative:page;mso-position-vertical-relative:paragraph;z-index:-15728640;mso-wrap-distance-left:0;mso-wrap-distance-right:0" coordorigin="1788,780" coordsize="8558,0" path="m1788,780l10346,780e" filled="false" stroked="true" strokeweight=".721334pt" strokecolor="#000000">
            <v:path arrowok="t"/>
            <v:stroke dashstyle="solid"/>
            <w10:wrap type="topAndBottom"/>
          </v:shape>
        </w:pict>
      </w:r>
      <w:r>
        <w:rPr>
          <w:b/>
          <w:color w:val="464846"/>
          <w:w w:val="105"/>
          <w:sz w:val="23"/>
        </w:rPr>
        <w:t>AUSTRALIAN CUSTOMS AND BORDER PROTECTION NOTICE NO: 2013 /04</w:t>
      </w:r>
    </w:p>
    <w:p>
      <w:pPr>
        <w:pStyle w:val="BodyText"/>
        <w:spacing w:before="7"/>
        <w:rPr>
          <w:b/>
          <w:sz w:val="25"/>
        </w:rPr>
      </w:pPr>
    </w:p>
    <w:p>
      <w:pPr>
        <w:spacing w:before="0"/>
        <w:ind w:left="1413" w:right="902" w:firstLine="0"/>
        <w:jc w:val="center"/>
        <w:rPr>
          <w:b/>
          <w:sz w:val="19"/>
        </w:rPr>
      </w:pPr>
      <w:r>
        <w:rPr>
          <w:b/>
          <w:color w:val="464846"/>
          <w:w w:val="105"/>
          <w:sz w:val="19"/>
        </w:rPr>
        <w:t>Update to ACN 2012/71 - Repeal of regulation 9AAA - export of bulk wheat</w:t>
      </w:r>
    </w:p>
    <w:p>
      <w:pPr>
        <w:pStyle w:val="BodyText"/>
        <w:rPr>
          <w:b/>
          <w:sz w:val="20"/>
        </w:rPr>
      </w:pPr>
    </w:p>
    <w:p>
      <w:pPr>
        <w:pStyle w:val="BodyText"/>
        <w:spacing w:before="2"/>
        <w:rPr>
          <w:b/>
          <w:sz w:val="21"/>
        </w:rPr>
      </w:pPr>
    </w:p>
    <w:p>
      <w:pPr>
        <w:pStyle w:val="BodyText"/>
        <w:spacing w:line="252" w:lineRule="auto"/>
        <w:ind w:left="735" w:right="302"/>
        <w:rPr>
          <w:b/>
        </w:rPr>
      </w:pPr>
      <w:r>
        <w:rPr>
          <w:color w:val="464846"/>
          <w:w w:val="105"/>
        </w:rPr>
        <w:t>Australian Customs Notice 2012/71</w:t>
      </w:r>
      <w:r>
        <w:rPr>
          <w:color w:val="606060"/>
          <w:w w:val="105"/>
        </w:rPr>
        <w:t>, </w:t>
      </w:r>
      <w:r>
        <w:rPr>
          <w:color w:val="464846"/>
          <w:w w:val="105"/>
        </w:rPr>
        <w:t>of 10 December 2012 advised that the export of bulk wheat will no longer be controlled under regulation 9AAA of the </w:t>
      </w:r>
      <w:r>
        <w:rPr>
          <w:i/>
          <w:color w:val="464846"/>
          <w:w w:val="105"/>
        </w:rPr>
        <w:t>Customs (Prohibited Export) Regulations 1958</w:t>
      </w:r>
      <w:r>
        <w:rPr>
          <w:i/>
          <w:color w:val="727072"/>
          <w:w w:val="105"/>
        </w:rPr>
        <w:t>, </w:t>
      </w:r>
      <w:r>
        <w:rPr>
          <w:color w:val="464846"/>
          <w:w w:val="105"/>
        </w:rPr>
        <w:t>resulting from passing of the </w:t>
      </w:r>
      <w:r>
        <w:rPr>
          <w:i/>
          <w:color w:val="464846"/>
          <w:w w:val="105"/>
        </w:rPr>
        <w:t>Wheat Export Marketing  Amendments  Act 2012</w:t>
      </w:r>
      <w:r>
        <w:rPr>
          <w:i/>
          <w:color w:val="727072"/>
          <w:w w:val="105"/>
        </w:rPr>
        <w:t>. </w:t>
      </w:r>
      <w:r>
        <w:rPr>
          <w:color w:val="464846"/>
          <w:w w:val="105"/>
        </w:rPr>
        <w:t>Requirements for Port Terminal Operator exporters of bulk wheat will be administered by the Department of Agriculture, Fisheries and Forestry (DAFF) and continuous disclosure compliance will be monitored by the Australian Competition and Consumer Commission  </w:t>
      </w:r>
      <w:r>
        <w:rPr>
          <w:b/>
          <w:color w:val="464846"/>
          <w:spacing w:val="-6"/>
          <w:w w:val="105"/>
        </w:rPr>
        <w:t>(ACCC)</w:t>
      </w:r>
      <w:r>
        <w:rPr>
          <w:b/>
          <w:color w:val="606060"/>
          <w:spacing w:val="-6"/>
          <w:w w:val="105"/>
        </w:rPr>
        <w:t>.</w:t>
      </w:r>
    </w:p>
    <w:p>
      <w:pPr>
        <w:pStyle w:val="BodyText"/>
        <w:spacing w:before="1"/>
        <w:rPr>
          <w:b/>
          <w:sz w:val="20"/>
        </w:rPr>
      </w:pPr>
    </w:p>
    <w:p>
      <w:pPr>
        <w:pStyle w:val="BodyText"/>
        <w:spacing w:line="252" w:lineRule="auto"/>
        <w:ind w:left="742" w:right="262" w:hanging="2"/>
      </w:pPr>
      <w:r>
        <w:rPr>
          <w:color w:val="464846"/>
          <w:w w:val="105"/>
        </w:rPr>
        <w:t>The information contained in ACN 2012/71 is </w:t>
      </w:r>
      <w:r>
        <w:rPr>
          <w:color w:val="464846"/>
          <w:spacing w:val="-3"/>
          <w:w w:val="105"/>
        </w:rPr>
        <w:t>correct</w:t>
      </w:r>
      <w:r>
        <w:rPr>
          <w:color w:val="727072"/>
          <w:spacing w:val="-3"/>
          <w:w w:val="105"/>
        </w:rPr>
        <w:t>, </w:t>
      </w:r>
      <w:r>
        <w:rPr>
          <w:color w:val="464846"/>
          <w:w w:val="105"/>
        </w:rPr>
        <w:t>however</w:t>
      </w:r>
      <w:r>
        <w:rPr>
          <w:color w:val="606060"/>
          <w:w w:val="105"/>
        </w:rPr>
        <w:t>, </w:t>
      </w:r>
      <w:r>
        <w:rPr>
          <w:color w:val="464846"/>
          <w:w w:val="105"/>
        </w:rPr>
        <w:t>this notice is to clarify that whilst the requirement to produce a </w:t>
      </w:r>
      <w:r>
        <w:rPr>
          <w:color w:val="464846"/>
          <w:w w:val="105"/>
          <w:u w:val="thick" w:color="464846"/>
        </w:rPr>
        <w:t>Wheat Export Australia (WEA) Permit</w:t>
      </w:r>
      <w:r>
        <w:rPr>
          <w:color w:val="464846"/>
          <w:w w:val="105"/>
        </w:rPr>
        <w:t>, is no longer necessary when exporting bulk wheat, there are other DAFF-Biosecurity permit or regulatory requirements that still </w:t>
      </w:r>
      <w:r>
        <w:rPr>
          <w:color w:val="464846"/>
          <w:spacing w:val="-3"/>
          <w:w w:val="105"/>
        </w:rPr>
        <w:t>apply</w:t>
      </w:r>
      <w:r>
        <w:rPr>
          <w:color w:val="727072"/>
          <w:spacing w:val="-3"/>
          <w:w w:val="105"/>
        </w:rPr>
        <w:t>. </w:t>
      </w:r>
      <w:r>
        <w:rPr>
          <w:color w:val="464846"/>
          <w:w w:val="105"/>
        </w:rPr>
        <w:t>All existing permit and regulatory requirements must still be met before exporting wheat from Australia</w:t>
      </w:r>
      <w:r>
        <w:rPr>
          <w:color w:val="464846"/>
          <w:spacing w:val="-3"/>
          <w:w w:val="105"/>
        </w:rPr>
        <w:t> </w:t>
      </w:r>
      <w:r>
        <w:rPr>
          <w:color w:val="727072"/>
          <w:w w:val="105"/>
        </w:rPr>
        <w:t>.</w:t>
      </w:r>
    </w:p>
    <w:p>
      <w:pPr>
        <w:pStyle w:val="BodyText"/>
        <w:spacing w:before="10"/>
      </w:pPr>
    </w:p>
    <w:p>
      <w:pPr>
        <w:pStyle w:val="BodyText"/>
        <w:spacing w:line="254" w:lineRule="auto"/>
        <w:ind w:left="2055" w:firstLine="23"/>
      </w:pPr>
      <w:r>
        <w:rPr/>
        <w:drawing>
          <wp:anchor distT="0" distB="0" distL="0" distR="0" allowOverlap="1" layoutInCell="1" locked="0" behindDoc="1" simplePos="0" relativeHeight="487557632">
            <wp:simplePos x="0" y="0"/>
            <wp:positionH relativeFrom="page">
              <wp:posOffset>833409</wp:posOffset>
            </wp:positionH>
            <wp:positionV relativeFrom="paragraph">
              <wp:posOffset>18505</wp:posOffset>
            </wp:positionV>
            <wp:extent cx="1120370" cy="144132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20370" cy="1441321"/>
                    </a:xfrm>
                    <a:prstGeom prst="rect">
                      <a:avLst/>
                    </a:prstGeom>
                  </pic:spPr>
                </pic:pic>
              </a:graphicData>
            </a:graphic>
          </wp:anchor>
        </w:drawing>
      </w:r>
      <w:r>
        <w:rPr>
          <w:color w:val="464846"/>
          <w:w w:val="105"/>
        </w:rPr>
        <w:t>ny further information relating to the existing permit and regulatory requirements lease refer to the DAFF website at </w:t>
      </w:r>
      <w:hyperlink r:id="rId7">
        <w:r>
          <w:rPr>
            <w:color w:val="4454A8"/>
            <w:w w:val="105"/>
            <w:u w:val="thick" w:color="727072"/>
          </w:rPr>
          <w:t>www</w:t>
        </w:r>
        <w:r>
          <w:rPr>
            <w:color w:val="7980BC"/>
            <w:w w:val="105"/>
            <w:u w:val="thick" w:color="727072"/>
          </w:rPr>
          <w:t>.</w:t>
        </w:r>
        <w:r>
          <w:rPr>
            <w:color w:val="4454A8"/>
            <w:w w:val="105"/>
            <w:u w:val="thick" w:color="727072"/>
          </w:rPr>
          <w:t>daff.gov.au</w:t>
        </w:r>
        <w:r>
          <w:rPr>
            <w:color w:val="727072"/>
            <w:w w:val="105"/>
          </w:rPr>
          <w: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ind w:left="2055"/>
      </w:pPr>
      <w:r>
        <w:rPr>
          <w:color w:val="464846"/>
          <w:w w:val="105"/>
        </w:rPr>
        <w:t>anager</w:t>
      </w:r>
    </w:p>
    <w:p>
      <w:pPr>
        <w:pStyle w:val="BodyText"/>
        <w:tabs>
          <w:tab w:pos="1708" w:val="left" w:leader="none"/>
        </w:tabs>
        <w:spacing w:line="171" w:lineRule="exact" w:before="7"/>
        <w:ind w:left="1267"/>
      </w:pPr>
      <w:r>
        <w:rPr>
          <w:color w:val="606060"/>
          <w:w w:val="105"/>
        </w:rPr>
        <w:t>,</w:t>
        <w:tab/>
      </w:r>
      <w:r>
        <w:rPr>
          <w:color w:val="464846"/>
          <w:w w:val="105"/>
        </w:rPr>
        <w:t>cy and Implantation</w:t>
      </w:r>
      <w:r>
        <w:rPr>
          <w:color w:val="464846"/>
          <w:spacing w:val="9"/>
          <w:w w:val="105"/>
        </w:rPr>
        <w:t> </w:t>
      </w:r>
      <w:r>
        <w:rPr>
          <w:color w:val="464846"/>
          <w:w w:val="105"/>
        </w:rPr>
        <w:t>Branch</w:t>
      </w:r>
    </w:p>
    <w:p>
      <w:pPr>
        <w:tabs>
          <w:tab w:pos="960" w:val="left" w:leader="none"/>
        </w:tabs>
        <w:spacing w:line="608" w:lineRule="exact" w:before="0"/>
        <w:ind w:left="276" w:right="0" w:firstLine="0"/>
        <w:jc w:val="left"/>
        <w:rPr>
          <w:sz w:val="19"/>
        </w:rPr>
      </w:pPr>
      <w:r>
        <w:rPr>
          <w:b/>
          <w:color w:val="A5A1A3"/>
          <w:w w:val="50"/>
          <w:sz w:val="57"/>
        </w:rPr>
        <w:t>1</w:t>
      </w:r>
      <w:r>
        <w:rPr>
          <w:b/>
          <w:color w:val="A5A1A3"/>
          <w:spacing w:val="-6"/>
          <w:w w:val="50"/>
          <w:sz w:val="57"/>
        </w:rPr>
        <w:t> </w:t>
      </w:r>
      <w:r>
        <w:rPr>
          <w:b/>
          <w:color w:val="727072"/>
          <w:w w:val="50"/>
          <w:sz w:val="57"/>
        </w:rPr>
        <w:t>1</w:t>
        <w:tab/>
      </w:r>
      <w:r>
        <w:rPr>
          <w:color w:val="464846"/>
          <w:w w:val="95"/>
          <w:sz w:val="19"/>
        </w:rPr>
        <w:t>January</w:t>
      </w:r>
      <w:r>
        <w:rPr>
          <w:color w:val="464846"/>
          <w:spacing w:val="14"/>
          <w:w w:val="95"/>
          <w:sz w:val="19"/>
        </w:rPr>
        <w:t> </w:t>
      </w:r>
      <w:r>
        <w:rPr>
          <w:color w:val="464846"/>
          <w:w w:val="95"/>
          <w:sz w:val="19"/>
        </w:rPr>
        <w:t>2013</w:t>
      </w:r>
    </w:p>
    <w:sectPr>
      <w:type w:val="continuous"/>
      <w:pgSz w:w="12240" w:h="16860"/>
      <w:pgMar w:top="1140" w:bottom="0" w:left="10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89"/>
      <w:ind w:left="1627" w:hanging="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daf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2020-12-09T22:20:13Z</dcterms:created>
  <dcterms:modified xsi:type="dcterms:W3CDTF">2020-12-09T22:20:13Z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2020-12-09T00:00:00Z</vt:filetime>
  </property>
</Properties>
</file>