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sz w:val="20"/>
        </w:rPr>
      </w:pPr>
      <w:r>
        <w:rPr>
          <w:sz w:val="20"/>
        </w:rPr>
        <w:drawing>
          <wp:inline distT="0" distB="0" distL="0" distR="0">
            <wp:extent cx="7171555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555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8"/>
        </w:rPr>
      </w:pPr>
    </w:p>
    <w:p>
      <w:pPr>
        <w:pStyle w:val="Title"/>
        <w:spacing w:before="112"/>
      </w:pPr>
      <w:r>
        <w:rPr/>
        <w:t>AUSTRALIAN CUSTOMS NOTICE NO. 2013/15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Title"/>
        <w:spacing w:line="275" w:lineRule="exact"/>
        <w:ind w:left="1720"/>
      </w:pPr>
      <w:r>
        <w:rPr/>
        <w:t>ADDITIONAL SUBTANCES ADDED TO SCHEDULE 4 TO THE</w:t>
      </w:r>
    </w:p>
    <w:p>
      <w:pPr>
        <w:spacing w:line="429" w:lineRule="exact" w:before="0"/>
        <w:ind w:left="1720" w:right="1730" w:firstLine="0"/>
        <w:jc w:val="center"/>
        <w:rPr>
          <w:rFonts w:ascii="Times-BoldItalic"/>
          <w:b/>
          <w:i/>
          <w:sz w:val="28"/>
        </w:rPr>
      </w:pPr>
      <w:r>
        <w:rPr>
          <w:rFonts w:ascii="Times-BoldItalic"/>
          <w:b/>
          <w:i/>
          <w:sz w:val="28"/>
        </w:rPr>
        <w:t>CUSTOMS (PROHIBITED IMPORTS) REGULATIONS 1956</w:t>
      </w:r>
    </w:p>
    <w:p>
      <w:pPr>
        <w:pStyle w:val="BodyText"/>
        <w:spacing w:before="209"/>
        <w:ind w:left="1260" w:right="1208"/>
      </w:pPr>
      <w:r>
        <w:rPr/>
        <w:t>Regulation 5 of the </w:t>
      </w:r>
      <w:r>
        <w:rPr>
          <w:i/>
        </w:rPr>
        <w:t>Customs (Prohibited Imports) Regulations 1956 </w:t>
      </w:r>
      <w:r>
        <w:rPr/>
        <w:t>(the PI Regulations) controls the import of drugs that are listed in Schedule 4 to the Regulations. A valid licence and permit are required to import these substances.</w:t>
      </w:r>
    </w:p>
    <w:p>
      <w:pPr>
        <w:pStyle w:val="BodyText"/>
      </w:pPr>
    </w:p>
    <w:p>
      <w:pPr>
        <w:pStyle w:val="BodyText"/>
        <w:ind w:left="1260" w:right="1160"/>
      </w:pPr>
      <w:r>
        <w:rPr/>
        <w:t>The Regulations have been amended to include additional substances in Schedule 4. Some of these substances (Items 49A, 49B, 49C, 49D, 49E, 61B, 108B, 108C, 112AB, 112AC, 112AD,</w:t>
      </w:r>
    </w:p>
    <w:p>
      <w:pPr>
        <w:pStyle w:val="BodyText"/>
        <w:ind w:left="1260" w:right="1208"/>
      </w:pPr>
      <w:r>
        <w:rPr/>
        <w:t>112AE 112AF and 118A have been found in products described as “synthetic cannabis”. Any product containing any of these ingredients will now be prohibited on import. These substances are: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30" w:lineRule="auto" w:before="0" w:after="0"/>
        <w:ind w:left="1620" w:right="1592" w:hanging="360"/>
        <w:jc w:val="both"/>
        <w:rPr>
          <w:sz w:val="24"/>
        </w:rPr>
      </w:pPr>
      <w:r>
        <w:rPr>
          <w:sz w:val="24"/>
        </w:rPr>
        <w:t>Classified as controlled drugs or prohibited substances under the Standard for Uniform Scheduling of Drugs and Poisons (SUSDP), an instrument made under the Therapeutic Goods Act 1989,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30" w:lineRule="auto" w:before="0" w:after="0"/>
        <w:ind w:left="1620" w:right="1631" w:hanging="360"/>
        <w:jc w:val="left"/>
        <w:rPr>
          <w:sz w:val="24"/>
        </w:rPr>
      </w:pPr>
      <w:r>
        <w:rPr>
          <w:sz w:val="24"/>
        </w:rPr>
        <w:t>Controlled under the Single Convention on Narcotic Drugs 1961 or the Convention on Psychotropic Substances 1971, and were not previously listed in Schedule 4 to the Regulations.</w:t>
      </w:r>
    </w:p>
    <w:p>
      <w:pPr>
        <w:pStyle w:val="BodyText"/>
        <w:spacing w:before="3"/>
      </w:pPr>
    </w:p>
    <w:p>
      <w:pPr>
        <w:pStyle w:val="BodyText"/>
        <w:ind w:left="1260"/>
      </w:pPr>
      <w:r>
        <w:rPr/>
        <w:t>The additional substances added to Schedule 4 are: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143" w:type="dxa"/>
        <w:tblBorders>
          <w:top w:val="double" w:sz="2" w:space="0" w:color="F0F0F0"/>
          <w:left w:val="double" w:sz="2" w:space="0" w:color="F0F0F0"/>
          <w:bottom w:val="double" w:sz="2" w:space="0" w:color="F0F0F0"/>
          <w:right w:val="double" w:sz="2" w:space="0" w:color="F0F0F0"/>
          <w:insideH w:val="double" w:sz="2" w:space="0" w:color="F0F0F0"/>
          <w:insideV w:val="double" w:sz="2" w:space="0" w:color="F0F0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8142"/>
      </w:tblGrid>
      <w:tr>
        <w:trPr>
          <w:trHeight w:val="366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5A</w:t>
            </w:r>
          </w:p>
        </w:tc>
        <w:tc>
          <w:tcPr>
            <w:tcW w:w="8142" w:type="dxa"/>
          </w:tcPr>
          <w:p>
            <w:pPr>
              <w:pStyle w:val="TableParagraph"/>
              <w:spacing w:before="4"/>
              <w:ind w:left="127"/>
              <w:rPr>
                <w:sz w:val="24"/>
              </w:rPr>
            </w:pPr>
            <w:r>
              <w:rPr>
                <w:sz w:val="24"/>
              </w:rPr>
              <w:t>Alkoxyamphetamines</w:t>
            </w:r>
          </w:p>
        </w:tc>
      </w:tr>
      <w:tr>
        <w:trPr>
          <w:trHeight w:val="362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5B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Alkoxyphenylethylamines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5C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Alkoxythioamphetamines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Anthranillic acid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32B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Butylone</w:t>
            </w:r>
          </w:p>
        </w:tc>
      </w:tr>
      <w:tr>
        <w:trPr>
          <w:trHeight w:val="1128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49A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 w:right="131"/>
              <w:rPr>
                <w:sz w:val="24"/>
              </w:rPr>
            </w:pPr>
            <w:r>
              <w:rPr>
                <w:sz w:val="24"/>
              </w:rPr>
              <w:t>Compounds structurally derived from 3-(1-naphthoyl)indole or 1H-indol-3-yl-(1- naphthyl)methane by substitution at the nitrogen atom of the indole ring by alkyl, alkenyl, cycloclkylmethyl, cycloalkylethyl or 2-(4-morpholinyl)ethyl whether or not there is any further substitution in the indole ring or the naphthyl ring</w:t>
            </w:r>
          </w:p>
        </w:tc>
      </w:tr>
      <w:tr>
        <w:trPr>
          <w:trHeight w:val="1128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49B</w:t>
            </w:r>
          </w:p>
        </w:tc>
        <w:tc>
          <w:tcPr>
            <w:tcW w:w="8142" w:type="dxa"/>
          </w:tcPr>
          <w:p>
            <w:pPr>
              <w:pStyle w:val="TableParagraph"/>
              <w:spacing w:line="270" w:lineRule="atLeast"/>
              <w:ind w:left="127" w:right="344"/>
              <w:rPr>
                <w:sz w:val="24"/>
              </w:rPr>
            </w:pPr>
            <w:r>
              <w:rPr>
                <w:sz w:val="24"/>
              </w:rPr>
              <w:t>Compounds structurally derived from 3-(1-naphthoyl)pyrrole by substitution at the nitrogen atom or pyrrole ring by alkyl, alkenyl, cycloalkymethyl, cycloalkylethyl or 2-(4-morphonlinyl)ethyl, whether or not there is any further substitution in the pyrrole ring or the naphthyl ring</w:t>
            </w:r>
          </w:p>
        </w:tc>
      </w:tr>
      <w:tr>
        <w:trPr>
          <w:trHeight w:val="568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49C</w:t>
            </w:r>
          </w:p>
        </w:tc>
        <w:tc>
          <w:tcPr>
            <w:tcW w:w="8142" w:type="dxa"/>
          </w:tcPr>
          <w:p>
            <w:pPr>
              <w:pStyle w:val="TableParagraph"/>
              <w:spacing w:line="270" w:lineRule="atLeast"/>
              <w:ind w:left="127" w:right="1264"/>
              <w:rPr>
                <w:sz w:val="24"/>
              </w:rPr>
            </w:pPr>
            <w:r>
              <w:rPr>
                <w:sz w:val="24"/>
              </w:rPr>
              <w:t>Compounds structurally derived from 1-(1-naphthylmethyl)indene by substitution at the 3 position of the indene ring by alkyl, alkenyl,</w:t>
            </w:r>
          </w:p>
        </w:tc>
      </w:tr>
    </w:tbl>
    <w:p>
      <w:pPr>
        <w:spacing w:after="0" w:line="270" w:lineRule="atLeast"/>
        <w:rPr>
          <w:sz w:val="24"/>
        </w:rPr>
        <w:sectPr>
          <w:type w:val="continuous"/>
          <w:pgSz w:w="11900" w:h="16840"/>
          <w:pgMar w:top="700" w:bottom="28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143" w:type="dxa"/>
        <w:tblBorders>
          <w:top w:val="double" w:sz="2" w:space="0" w:color="F0F0F0"/>
          <w:left w:val="double" w:sz="2" w:space="0" w:color="F0F0F0"/>
          <w:bottom w:val="double" w:sz="2" w:space="0" w:color="F0F0F0"/>
          <w:right w:val="double" w:sz="2" w:space="0" w:color="F0F0F0"/>
          <w:insideH w:val="double" w:sz="2" w:space="0" w:color="F0F0F0"/>
          <w:insideV w:val="double" w:sz="2" w:space="0" w:color="F0F0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8142"/>
      </w:tblGrid>
      <w:tr>
        <w:trPr>
          <w:trHeight w:val="5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8142" w:type="dxa"/>
          </w:tcPr>
          <w:p>
            <w:pPr>
              <w:pStyle w:val="TableParagraph"/>
              <w:spacing w:before="0"/>
              <w:ind w:left="127" w:right="558"/>
              <w:rPr>
                <w:sz w:val="24"/>
              </w:rPr>
            </w:pPr>
            <w:r>
              <w:rPr>
                <w:sz w:val="24"/>
              </w:rPr>
              <w:t>cycloalkylmethyl, cycloalkylethyl or 2-(4-morphonlinyl)ethyl whether or not there is any further substitution in the indene ring or the naphthyl ring</w:t>
            </w:r>
          </w:p>
        </w:tc>
      </w:tr>
      <w:tr>
        <w:trPr>
          <w:trHeight w:val="1128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49D</w:t>
            </w:r>
          </w:p>
        </w:tc>
        <w:tc>
          <w:tcPr>
            <w:tcW w:w="8142" w:type="dxa"/>
          </w:tcPr>
          <w:p>
            <w:pPr>
              <w:pStyle w:val="TableParagraph"/>
              <w:spacing w:line="270" w:lineRule="atLeast"/>
              <w:ind w:left="127" w:right="179" w:hanging="1"/>
              <w:rPr>
                <w:sz w:val="24"/>
              </w:rPr>
            </w:pPr>
            <w:r>
              <w:rPr>
                <w:sz w:val="24"/>
              </w:rPr>
              <w:t>Compounds structurally derived from 3-phenylacetylindole by substitution at the nitrogen atom of the indole ring with alkyl, alkenyl, cycloalkylmethyl, cycloalkylethyl or 2-(4-morphonlinyl)ethyl, whether or not there is any further substitution in the indole ring or the phenyl ring</w:t>
            </w:r>
          </w:p>
        </w:tc>
      </w:tr>
      <w:tr>
        <w:trPr>
          <w:trHeight w:val="1128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49E</w:t>
            </w:r>
          </w:p>
        </w:tc>
        <w:tc>
          <w:tcPr>
            <w:tcW w:w="8142" w:type="dxa"/>
          </w:tcPr>
          <w:p>
            <w:pPr>
              <w:pStyle w:val="TableParagraph"/>
              <w:spacing w:line="270" w:lineRule="atLeast"/>
              <w:ind w:left="127" w:right="92"/>
              <w:rPr>
                <w:sz w:val="24"/>
              </w:rPr>
            </w:pPr>
            <w:r>
              <w:rPr>
                <w:sz w:val="24"/>
              </w:rPr>
              <w:t>Compounds structurally derived from 2-(3-hydroxycyclohexyl)phenol by substitution at the 5-position of the phenolic ring by alkyl, alkenyl, cycloalkylmethyl, cycloalkylethyl or 2-(4-merpholinyl)ethyl, whether or not there is a further substitution in the cyclohexyl ring.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Dihydroetorphine</w:t>
            </w:r>
          </w:p>
        </w:tc>
      </w:tr>
      <w:tr>
        <w:trPr>
          <w:trHeight w:val="852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61B</w:t>
            </w:r>
          </w:p>
        </w:tc>
        <w:tc>
          <w:tcPr>
            <w:tcW w:w="8142" w:type="dxa"/>
          </w:tcPr>
          <w:p>
            <w:pPr>
              <w:pStyle w:val="TableParagraph"/>
              <w:spacing w:line="270" w:lineRule="atLeast"/>
              <w:ind w:left="127" w:right="185"/>
              <w:rPr>
                <w:sz w:val="24"/>
              </w:rPr>
            </w:pPr>
            <w:r>
              <w:rPr>
                <w:sz w:val="24"/>
              </w:rPr>
              <w:t>(2,3-dihydro-5-methyl-3-((4-morpholinyl)metyl)pyrrolo-(1,2,3-de)-1,4- benzoxanzin-6-yl)(1-naphthalenyl)methanone monomethanesulfonate (otherwise known as WIN-55, 212-2)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66AA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2,5-dimethoxy-4-ethylphenethylamine (otherwise known as </w:t>
            </w:r>
            <w:r>
              <w:rPr>
                <w:i/>
                <w:sz w:val="24"/>
              </w:rPr>
              <w:t>2C-E</w:t>
            </w:r>
            <w:r>
              <w:rPr>
                <w:sz w:val="24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67AA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2,5-dimethoxy-4-(n)-propylphenethylamine (otherwise known as </w:t>
            </w:r>
            <w:r>
              <w:rPr>
                <w:i/>
                <w:sz w:val="24"/>
              </w:rPr>
              <w:t>2C-P</w:t>
            </w:r>
            <w:r>
              <w:rPr>
                <w:sz w:val="24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97A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4-fluoro-N-methylamphetamine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97B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1-(5-fluoropentyl)-3-(2-iodobenzoyl)indole (otherwise known as AM-694)</w:t>
            </w:r>
          </w:p>
        </w:tc>
      </w:tr>
      <w:tr>
        <w:trPr>
          <w:trHeight w:val="576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108B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 w:right="618"/>
              <w:rPr>
                <w:sz w:val="24"/>
              </w:rPr>
            </w:pPr>
            <w:r>
              <w:rPr>
                <w:sz w:val="24"/>
              </w:rPr>
              <w:t>2-[(1R,3S)-3-hydroxycyclohexyl]-5-(2-methylnonan-2-yl)phenol (otherwise known as CP 47,497-C8)</w:t>
            </w:r>
          </w:p>
        </w:tc>
      </w:tr>
      <w:tr>
        <w:trPr>
          <w:trHeight w:val="576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108C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 w:right="685"/>
              <w:rPr>
                <w:sz w:val="24"/>
              </w:rPr>
            </w:pPr>
            <w:r>
              <w:rPr>
                <w:sz w:val="24"/>
              </w:rPr>
              <w:t>2-[(1R,3S)-3-hydroxycyclohexyl]-5-(2-methyloctan-2-yl)phenol (otherwise known as CP 47,497)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112AB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JWH-018 (otherwise known as 1-pentyl-3-(1-naphthoyl)indole or AM-678)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112AC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JWH-073 (otherwise known as 1-butyl-3-(1-naphthoyl)indole)</w:t>
            </w:r>
          </w:p>
        </w:tc>
      </w:tr>
      <w:tr>
        <w:trPr>
          <w:trHeight w:val="362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112AD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JWH-122 (otherwise known as 1-pentyl-3-(4-methyl-1-naphthoyl)indole)</w:t>
            </w:r>
          </w:p>
        </w:tc>
      </w:tr>
      <w:tr>
        <w:trPr>
          <w:trHeight w:val="576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112AE</w:t>
            </w:r>
          </w:p>
        </w:tc>
        <w:tc>
          <w:tcPr>
            <w:tcW w:w="8142" w:type="dxa"/>
          </w:tcPr>
          <w:p>
            <w:pPr>
              <w:pStyle w:val="TableParagraph"/>
              <w:spacing w:line="270" w:lineRule="atLeast"/>
              <w:ind w:left="127" w:right="326" w:hanging="1"/>
              <w:rPr>
                <w:sz w:val="24"/>
              </w:rPr>
            </w:pPr>
            <w:r>
              <w:rPr>
                <w:sz w:val="24"/>
              </w:rPr>
              <w:t>JWH-200 (otherwise known as (1-[2-morpholinyl)ethyl]-3-(1-naphthoyl)indole or WIN55,255)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112AF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JWH-250 (otherwise known as 1-pentyl-3-(2-methoxyphenylacetyl)indole)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118A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Levonantradol (otherwise known as CP 50,5561)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139AA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Methoxetamine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146B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3,4-methylenedioxypyrovalerone (otherwise known as MDPV)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147C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Methylone</w:t>
            </w:r>
          </w:p>
        </w:tc>
      </w:tr>
      <w:tr>
        <w:trPr>
          <w:trHeight w:val="362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153A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Mitragynine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159A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Muscimol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Naphyrone</w:t>
            </w:r>
          </w:p>
        </w:tc>
      </w:tr>
      <w:tr>
        <w:trPr>
          <w:trHeight w:val="576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178A</w:t>
            </w:r>
          </w:p>
        </w:tc>
        <w:tc>
          <w:tcPr>
            <w:tcW w:w="8142" w:type="dxa"/>
          </w:tcPr>
          <w:p>
            <w:pPr>
              <w:pStyle w:val="TableParagraph"/>
              <w:spacing w:line="270" w:lineRule="atLeast"/>
              <w:ind w:left="127" w:right="243"/>
              <w:rPr>
                <w:sz w:val="24"/>
              </w:rPr>
            </w:pPr>
            <w:r>
              <w:rPr>
                <w:i/>
                <w:sz w:val="24"/>
              </w:rPr>
              <w:t>Parahexyl (</w:t>
            </w:r>
            <w:r>
              <w:rPr>
                <w:sz w:val="24"/>
              </w:rPr>
              <w:t>otherwise known as 3-hexyl-7,8,9,10-tetrahydro-6,6,9-trimethyl-6H- dibenzo(b,d)pyran-1-o1)</w:t>
            </w:r>
          </w:p>
        </w:tc>
      </w:tr>
      <w:tr>
        <w:trPr>
          <w:trHeight w:val="365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191A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N-Phenethyl-4-piperidone (otherwise known as NPP)</w:t>
            </w:r>
          </w:p>
        </w:tc>
      </w:tr>
      <w:tr>
        <w:trPr>
          <w:trHeight w:val="354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218B</w:t>
            </w:r>
          </w:p>
        </w:tc>
        <w:tc>
          <w:tcPr>
            <w:tcW w:w="8142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Salvinorin A</w:t>
            </w:r>
          </w:p>
        </w:tc>
      </w:tr>
    </w:tbl>
    <w:p>
      <w:pPr>
        <w:spacing w:after="0"/>
        <w:rPr>
          <w:sz w:val="24"/>
        </w:rPr>
        <w:sectPr>
          <w:headerReference w:type="default" r:id="rId6"/>
          <w:pgSz w:w="11900" w:h="16840"/>
          <w:pgMar w:header="699" w:footer="0" w:top="880" w:bottom="280" w:left="180" w:right="16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143" w:type="dxa"/>
        <w:tblBorders>
          <w:top w:val="double" w:sz="2" w:space="0" w:color="F0F0F0"/>
          <w:left w:val="double" w:sz="2" w:space="0" w:color="F0F0F0"/>
          <w:bottom w:val="double" w:sz="2" w:space="0" w:color="F0F0F0"/>
          <w:right w:val="double" w:sz="2" w:space="0" w:color="F0F0F0"/>
          <w:insideH w:val="double" w:sz="2" w:space="0" w:color="F0F0F0"/>
          <w:insideV w:val="double" w:sz="2" w:space="0" w:color="F0F0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8142"/>
      </w:tblGrid>
      <w:tr>
        <w:trPr>
          <w:trHeight w:val="354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line="268" w:lineRule="exact" w:before="0"/>
              <w:rPr>
                <w:sz w:val="24"/>
              </w:rPr>
            </w:pPr>
            <w:r>
              <w:rPr>
                <w:sz w:val="24"/>
              </w:rPr>
              <w:t>220A</w:t>
            </w:r>
          </w:p>
        </w:tc>
        <w:tc>
          <w:tcPr>
            <w:tcW w:w="8142" w:type="dxa"/>
          </w:tcPr>
          <w:p>
            <w:pPr>
              <w:pStyle w:val="TableParagraph"/>
              <w:spacing w:line="268" w:lineRule="exact" w:before="0"/>
              <w:ind w:left="127"/>
              <w:rPr>
                <w:sz w:val="24"/>
              </w:rPr>
            </w:pPr>
            <w:r>
              <w:rPr>
                <w:sz w:val="24"/>
              </w:rPr>
              <w:t>Tapentadol</w:t>
            </w:r>
          </w:p>
        </w:tc>
      </w:tr>
      <w:tr>
        <w:trPr>
          <w:trHeight w:val="364" w:hRule="atLeast"/>
        </w:trPr>
        <w:tc>
          <w:tcPr>
            <w:tcW w:w="99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230A</w:t>
            </w:r>
          </w:p>
        </w:tc>
        <w:tc>
          <w:tcPr>
            <w:tcW w:w="8142" w:type="dxa"/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1-(3,4,5-timethoxyphenyl)-2-aminobutane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spacing w:before="58"/>
        <w:ind w:left="1259" w:right="1523"/>
      </w:pPr>
      <w:r>
        <w:rPr/>
        <w:t>The listing of these substances in Schedule 4 means they are now part of the import control regime governed by Regulation 5 of the PI Regulations.</w:t>
      </w:r>
    </w:p>
    <w:p>
      <w:pPr>
        <w:pStyle w:val="BodyText"/>
      </w:pPr>
    </w:p>
    <w:p>
      <w:pPr>
        <w:pStyle w:val="BodyText"/>
        <w:ind w:left="1259" w:right="1729"/>
      </w:pPr>
      <w:r>
        <w:rPr/>
        <w:t>The amendment also includes some technical corrections to existing items in Schedule 4. These now read:</w:t>
      </w:r>
    </w:p>
    <w:p>
      <w:pPr>
        <w:pStyle w:val="BodyText"/>
        <w:spacing w:before="1" w:after="1"/>
        <w:rPr>
          <w:sz w:val="27"/>
        </w:rPr>
      </w:pPr>
    </w:p>
    <w:tbl>
      <w:tblPr>
        <w:tblW w:w="0" w:type="auto"/>
        <w:jc w:val="left"/>
        <w:tblInd w:w="1143" w:type="dxa"/>
        <w:tblBorders>
          <w:top w:val="double" w:sz="2" w:space="0" w:color="F0F0F0"/>
          <w:left w:val="double" w:sz="2" w:space="0" w:color="F0F0F0"/>
          <w:bottom w:val="double" w:sz="2" w:space="0" w:color="F0F0F0"/>
          <w:right w:val="double" w:sz="2" w:space="0" w:color="F0F0F0"/>
          <w:insideH w:val="double" w:sz="2" w:space="0" w:color="F0F0F0"/>
          <w:insideV w:val="double" w:sz="2" w:space="0" w:color="F0F0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8211"/>
      </w:tblGrid>
      <w:tr>
        <w:trPr>
          <w:trHeight w:val="584" w:hRule="atLeast"/>
        </w:trPr>
        <w:tc>
          <w:tcPr>
            <w:tcW w:w="92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8211" w:type="dxa"/>
          </w:tcPr>
          <w:p>
            <w:pPr>
              <w:pStyle w:val="TableParagraph"/>
              <w:spacing w:before="150"/>
              <w:ind w:left="127"/>
              <w:rPr>
                <w:sz w:val="24"/>
              </w:rPr>
            </w:pPr>
            <w:r>
              <w:rPr>
                <w:sz w:val="24"/>
              </w:rPr>
              <w:t>levomethorphan, but not including dextromethorphan</w:t>
            </w:r>
          </w:p>
        </w:tc>
      </w:tr>
      <w:tr>
        <w:trPr>
          <w:trHeight w:val="4376" w:hRule="atLeast"/>
        </w:trPr>
        <w:tc>
          <w:tcPr>
            <w:tcW w:w="920" w:type="dxa"/>
            <w:tcBorders>
              <w:left w:val="double" w:sz="2" w:space="0" w:color="A0A0A0"/>
            </w:tcBorders>
          </w:tcPr>
          <w:p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8211" w:type="dxa"/>
          </w:tcPr>
          <w:p>
            <w:pPr>
              <w:pStyle w:val="TableParagraph"/>
              <w:spacing w:before="87"/>
              <w:ind w:left="197"/>
              <w:rPr>
                <w:sz w:val="24"/>
              </w:rPr>
            </w:pPr>
            <w:r>
              <w:rPr>
                <w:sz w:val="24"/>
              </w:rPr>
              <w:t>Plants and parts of plants of the following genus or species: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79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Argyreia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nervosa;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82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Ephedra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sinica;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79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Ipomoea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hederacea;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79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Ipomoea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tricolor;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82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Ipomoea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violacea;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79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Lophophora;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79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Mitragyna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speciosa;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82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Papaver Bracteatum;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79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Piptadenia peregrina (Anadenanthera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peregrina):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79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Rivea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corymbosa;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7" w:val="left" w:leader="none"/>
                <w:tab w:pos="848" w:val="left" w:leader="none"/>
              </w:tabs>
              <w:spacing w:line="240" w:lineRule="auto" w:before="82" w:after="0"/>
              <w:ind w:left="847" w:right="0" w:hanging="651"/>
              <w:jc w:val="left"/>
              <w:rPr>
                <w:sz w:val="24"/>
              </w:rPr>
            </w:pPr>
            <w:r>
              <w:rPr>
                <w:sz w:val="24"/>
              </w:rPr>
              <w:t>Salvia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divinorum</w:t>
            </w: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259"/>
      </w:pPr>
      <w:r>
        <w:rPr/>
        <w:t>The amending Regulations came into effect on 4 April 2013.</w:t>
      </w:r>
    </w:p>
    <w:p>
      <w:pPr>
        <w:pStyle w:val="BodyText"/>
      </w:pPr>
    </w:p>
    <w:p>
      <w:pPr>
        <w:pStyle w:val="BodyText"/>
        <w:ind w:left="1259" w:right="1523"/>
      </w:pPr>
      <w:r>
        <w:rPr/>
        <w:t>The Office of Chemical Safety (OCS) is responsible for issuing licences and permits for all Schedule 4 substances. Enquiries regarding licences and permits should be directed to OCSEH via email at </w:t>
      </w:r>
      <w:hyperlink r:id="rId7">
        <w:r>
          <w:rPr>
            <w:color w:val="0000FF"/>
            <w:u w:val="single" w:color="0000FF"/>
          </w:rPr>
          <w:t>tmu@health.gov.au</w:t>
        </w:r>
        <w:r>
          <w:rPr>
            <w:color w:val="0000FF"/>
          </w:rPr>
          <w:t> </w:t>
        </w:r>
      </w:hyperlink>
      <w:r>
        <w:rPr/>
        <w:t>or by telephone on (02) 6289 2686.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8"/>
        <w:ind w:left="1259" w:right="1208"/>
      </w:pPr>
      <w:r>
        <w:rPr/>
        <w:t>Enquiries regarding this notice should be directed via email to </w:t>
      </w:r>
      <w:hyperlink r:id="rId8">
        <w:r>
          <w:rPr>
            <w:color w:val="0000FF"/>
          </w:rPr>
          <w:t>community.protection@customs.gov.au </w:t>
        </w:r>
      </w:hyperlink>
      <w:r>
        <w:rPr/>
        <w:t>or telephone (02) 6275 5963.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260"/>
      </w:pPr>
      <w:r>
        <w:rPr/>
        <w:t>[signed]</w:t>
      </w:r>
    </w:p>
    <w:p>
      <w:pPr>
        <w:pStyle w:val="BodyText"/>
      </w:pPr>
    </w:p>
    <w:p>
      <w:pPr>
        <w:pStyle w:val="BodyText"/>
        <w:ind w:left="1260" w:right="7994"/>
      </w:pPr>
      <w:r>
        <w:rPr/>
        <w:t>Geoff Johannes National</w:t>
      </w:r>
      <w:r>
        <w:rPr>
          <w:spacing w:val="2"/>
        </w:rPr>
        <w:t> </w:t>
      </w:r>
      <w:r>
        <w:rPr>
          <w:spacing w:val="-3"/>
        </w:rPr>
        <w:t>Manager</w:t>
      </w:r>
    </w:p>
    <w:p>
      <w:pPr>
        <w:pStyle w:val="BodyText"/>
        <w:ind w:left="1260" w:right="7010"/>
      </w:pPr>
      <w:r>
        <w:rPr/>
        <w:t>Trade, Policy and</w:t>
      </w:r>
      <w:r>
        <w:rPr>
          <w:spacing w:val="-10"/>
        </w:rPr>
        <w:t> </w:t>
      </w:r>
      <w:r>
        <w:rPr/>
        <w:t>Implementation CANBERRA</w:t>
      </w:r>
      <w:r>
        <w:rPr>
          <w:spacing w:val="-2"/>
        </w:rPr>
        <w:t> </w:t>
      </w:r>
      <w:r>
        <w:rPr/>
        <w:t>ACT</w:t>
      </w:r>
    </w:p>
    <w:p>
      <w:pPr>
        <w:pStyle w:val="BodyText"/>
      </w:pPr>
    </w:p>
    <w:p>
      <w:pPr>
        <w:pStyle w:val="BodyText"/>
        <w:ind w:left="1320"/>
      </w:pPr>
      <w:r>
        <w:rPr/>
        <w:t>11 April 2013</w:t>
      </w:r>
    </w:p>
    <w:sectPr>
      <w:pgSz w:w="11900" w:h="16840"/>
      <w:pgMar w:header="699" w:footer="0" w:top="88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Times-BoldItalic">
    <w:altName w:val="Times-BoldItalic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39874pt;margin-top:33.993275pt;width:11.55pt;height:12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line="216" w:lineRule="exact" w:before="23"/>
                  <w:ind w:left="60" w:right="0" w:firstLine="0"/>
                  <w:jc w:val="left"/>
                  <w:rPr>
                    <w:rFonts w:ascii="Helvetica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Helvetica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847" w:hanging="65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2" w:hanging="6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5" w:hanging="6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7" w:hanging="6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0" w:hanging="6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3" w:hanging="6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5" w:hanging="6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8" w:hanging="6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00" w:hanging="6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620" w:hanging="360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61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ind w:left="1719" w:right="1731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620" w:right="1592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5"/>
      <w:ind w:left="12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yperlink" Target="mailto:tmu@health.gov.au" TargetMode="External"/><Relationship Id="rId8" Type="http://schemas.openxmlformats.org/officeDocument/2006/relationships/hyperlink" Target="mailto:community.protection@customs.gov.au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c8tos</dc:creator>
  <dc:title>Microsoft Word - ACN 2013-15 -Amendment to Schedule 4 - MARCH 2013 \(2\)</dc:title>
  <dcterms:created xsi:type="dcterms:W3CDTF">2020-12-09T22:31:08Z</dcterms:created>
  <dcterms:modified xsi:type="dcterms:W3CDTF">2020-12-09T22:31:08Z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