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8"/>
        </w:rPr>
      </w:pPr>
    </w:p>
    <w:p>
      <w:pPr>
        <w:pStyle w:val="Title"/>
        <w:spacing w:line="230" w:lineRule="auto" w:after="23"/>
        <w:ind w:left="4977"/>
      </w:pPr>
      <w:r>
        <w:rPr/>
        <w:t>AUSTRALIAN CUSTOMS AND BORDER PROTECTION NOTICE NO. 2013/26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3"/>
        <w:rPr>
          <w:b/>
          <w:sz w:val="18"/>
        </w:rPr>
      </w:pPr>
    </w:p>
    <w:p>
      <w:pPr>
        <w:pStyle w:val="Title"/>
        <w:spacing w:line="230" w:lineRule="auto"/>
        <w:ind w:right="1664" w:firstLine="0"/>
      </w:pPr>
      <w:r>
        <w:rPr/>
        <w:t>1 July 2013 changes to the gaseous fuels arrangements, the carbon component rate on aviation fuel, the treatment code for cheese and curd, and the Schedule 4 item 17 by-law.</w:t>
      </w:r>
    </w:p>
    <w:p>
      <w:pPr>
        <w:pStyle w:val="BodyText"/>
        <w:spacing w:before="1"/>
        <w:rPr>
          <w:b/>
          <w:sz w:val="23"/>
        </w:rPr>
      </w:pPr>
    </w:p>
    <w:p>
      <w:pPr>
        <w:pStyle w:val="BodyText"/>
        <w:spacing w:line="432" w:lineRule="auto"/>
        <w:ind w:left="1521" w:right="3269"/>
      </w:pPr>
      <w:r>
        <w:rPr/>
        <w:t>This Notice summarises changes that will occur on 1 July 2013. </w:t>
      </w:r>
      <w:r>
        <w:rPr>
          <w:u w:val="single"/>
        </w:rPr>
        <w:t>Changes to gaseous fuels arrangements</w:t>
      </w:r>
    </w:p>
    <w:p>
      <w:pPr>
        <w:pStyle w:val="BodyText"/>
        <w:spacing w:line="235" w:lineRule="auto" w:before="48"/>
        <w:ind w:left="1521" w:right="1708"/>
      </w:pPr>
      <w:r>
        <w:rPr/>
        <w:t>The excise equivalent duty prices currently set for LPG and LNG and CNG will increase from 1 July 2013. The table below sets out the current excise equivalent duty, as well as the changes set to begin next month.</w:t>
      </w:r>
    </w:p>
    <w:p>
      <w:pPr>
        <w:pStyle w:val="BodyText"/>
        <w:spacing w:before="7"/>
        <w:rPr>
          <w:sz w:val="23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79"/>
        <w:gridCol w:w="2181"/>
        <w:gridCol w:w="2179"/>
        <w:gridCol w:w="2179"/>
      </w:tblGrid>
      <w:tr>
        <w:trPr>
          <w:trHeight w:val="1103" w:hRule="atLeast"/>
        </w:trPr>
        <w:tc>
          <w:tcPr>
            <w:tcW w:w="2179" w:type="dxa"/>
          </w:tcPr>
          <w:p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Goods</w:t>
            </w:r>
          </w:p>
        </w:tc>
        <w:tc>
          <w:tcPr>
            <w:tcW w:w="2181" w:type="dxa"/>
          </w:tcPr>
          <w:p>
            <w:pPr>
              <w:pStyle w:val="TableParagraph"/>
              <w:spacing w:line="276" w:lineRule="exact"/>
              <w:ind w:left="107" w:right="443"/>
              <w:rPr>
                <w:b/>
                <w:sz w:val="24"/>
              </w:rPr>
            </w:pPr>
            <w:r>
              <w:rPr>
                <w:b/>
                <w:sz w:val="24"/>
              </w:rPr>
              <w:t>Tariff Classification and statistical code</w:t>
            </w:r>
          </w:p>
        </w:tc>
        <w:tc>
          <w:tcPr>
            <w:tcW w:w="2179" w:type="dxa"/>
          </w:tcPr>
          <w:p>
            <w:pPr>
              <w:pStyle w:val="TableParagraph"/>
              <w:spacing w:line="230" w:lineRule="auto"/>
              <w:ind w:left="106" w:right="402"/>
              <w:rPr>
                <w:b/>
                <w:sz w:val="24"/>
              </w:rPr>
            </w:pPr>
            <w:r>
              <w:rPr>
                <w:b/>
                <w:sz w:val="24"/>
              </w:rPr>
              <w:t>Duty rate from July 2012</w:t>
            </w:r>
          </w:p>
        </w:tc>
        <w:tc>
          <w:tcPr>
            <w:tcW w:w="2179" w:type="dxa"/>
          </w:tcPr>
          <w:p>
            <w:pPr>
              <w:pStyle w:val="TableParagraph"/>
              <w:spacing w:line="230" w:lineRule="auto"/>
              <w:ind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>New duty rate from 1 July 2013</w:t>
            </w:r>
          </w:p>
        </w:tc>
      </w:tr>
      <w:tr>
        <w:trPr>
          <w:trHeight w:val="551" w:hRule="atLeast"/>
        </w:trPr>
        <w:tc>
          <w:tcPr>
            <w:tcW w:w="2179" w:type="dxa"/>
          </w:tcPr>
          <w:p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Liquefied Natural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Gas (LNG)</w:t>
            </w:r>
          </w:p>
        </w:tc>
        <w:tc>
          <w:tcPr>
            <w:tcW w:w="2181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2711.11.00/13</w:t>
            </w:r>
          </w:p>
        </w:tc>
        <w:tc>
          <w:tcPr>
            <w:tcW w:w="2179" w:type="dxa"/>
          </w:tcPr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$0.1045/kg</w:t>
            </w:r>
          </w:p>
        </w:tc>
        <w:tc>
          <w:tcPr>
            <w:tcW w:w="2179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$0.1567/kg</w:t>
            </w:r>
          </w:p>
        </w:tc>
      </w:tr>
      <w:tr>
        <w:trPr>
          <w:trHeight w:val="827" w:hRule="atLeast"/>
        </w:trPr>
        <w:tc>
          <w:tcPr>
            <w:tcW w:w="2179" w:type="dxa"/>
          </w:tcPr>
          <w:p>
            <w:pPr>
              <w:pStyle w:val="TableParagraph"/>
              <w:spacing w:line="276" w:lineRule="exact"/>
              <w:ind w:left="107" w:right="441"/>
              <w:rPr>
                <w:sz w:val="24"/>
              </w:rPr>
            </w:pPr>
            <w:r>
              <w:rPr>
                <w:sz w:val="24"/>
              </w:rPr>
              <w:t>Liquefied Petroleum Gas (LPG)</w:t>
            </w:r>
          </w:p>
        </w:tc>
        <w:tc>
          <w:tcPr>
            <w:tcW w:w="2181" w:type="dxa"/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2711.12.10/01</w:t>
            </w:r>
          </w:p>
          <w:p>
            <w:pPr>
              <w:pStyle w:val="TableParagraph"/>
              <w:spacing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2711.13.10/03</w:t>
            </w:r>
          </w:p>
        </w:tc>
        <w:tc>
          <w:tcPr>
            <w:tcW w:w="217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$0.05/L</w:t>
            </w:r>
          </w:p>
        </w:tc>
        <w:tc>
          <w:tcPr>
            <w:tcW w:w="217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$0.075/L</w:t>
            </w:r>
          </w:p>
        </w:tc>
      </w:tr>
      <w:tr>
        <w:trPr>
          <w:trHeight w:val="827" w:hRule="atLeast"/>
        </w:trPr>
        <w:tc>
          <w:tcPr>
            <w:tcW w:w="2179" w:type="dxa"/>
          </w:tcPr>
          <w:p>
            <w:pPr>
              <w:pStyle w:val="TableParagraph"/>
              <w:spacing w:line="235" w:lineRule="auto"/>
              <w:ind w:left="107" w:right="681"/>
              <w:rPr>
                <w:sz w:val="24"/>
              </w:rPr>
            </w:pPr>
            <w:r>
              <w:rPr>
                <w:sz w:val="24"/>
              </w:rPr>
              <w:t>Compressed Natural Gas</w:t>
            </w:r>
          </w:p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(CNG)</w:t>
            </w:r>
          </w:p>
        </w:tc>
        <w:tc>
          <w:tcPr>
            <w:tcW w:w="2181" w:type="dxa"/>
          </w:tcPr>
          <w:p>
            <w:pPr>
              <w:pStyle w:val="TableParagraph"/>
              <w:spacing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2711.21.10/05</w:t>
            </w:r>
          </w:p>
        </w:tc>
        <w:tc>
          <w:tcPr>
            <w:tcW w:w="2179" w:type="dxa"/>
          </w:tcPr>
          <w:p>
            <w:pPr>
              <w:pStyle w:val="TableParagraph"/>
              <w:spacing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$0.1045/kg</w:t>
            </w:r>
          </w:p>
        </w:tc>
        <w:tc>
          <w:tcPr>
            <w:tcW w:w="2179" w:type="dxa"/>
          </w:tcPr>
          <w:p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$0.1567/kg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line="235" w:lineRule="auto"/>
        <w:ind w:left="1521" w:right="1921"/>
      </w:pPr>
      <w:r>
        <w:rPr/>
        <w:t>Automatic remissions on excise equivalent duty will still be available for LPG and LNG for non-transport use.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 w:before="1"/>
        <w:ind w:left="1521" w:right="1655"/>
      </w:pPr>
      <w:r>
        <w:rPr/>
        <w:t>While the current remission is partial only, from 1 July 2013 it will become a full remission as the carbon component rate on LPG and LNG imports will no longer be collected by Australian Customs and Border Protection. From 1 July 2013 the carbon component rate will be administered by the Clean Energy Regulator.</w:t>
      </w:r>
    </w:p>
    <w:p>
      <w:pPr>
        <w:spacing w:after="0" w:line="235" w:lineRule="auto"/>
        <w:sectPr>
          <w:type w:val="continuous"/>
          <w:pgSz w:w="11900" w:h="16840"/>
          <w:pgMar w:top="1140" w:bottom="280" w:left="180" w:right="160"/>
        </w:sectPr>
      </w:pPr>
    </w:p>
    <w:p>
      <w:pPr>
        <w:pStyle w:val="BodyText"/>
        <w:spacing w:before="41"/>
        <w:ind w:left="1521"/>
      </w:pPr>
      <w:r>
        <w:rPr>
          <w:u w:val="single"/>
        </w:rPr>
        <w:t>Carbon component rate change on aviation fuel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5" w:lineRule="auto"/>
        <w:ind w:left="1521" w:right="1747"/>
      </w:pPr>
      <w:r>
        <w:rPr/>
        <w:t>Section 6FA of the </w:t>
      </w:r>
      <w:r>
        <w:rPr>
          <w:i/>
        </w:rPr>
        <w:t>Excise Tariff Act 1921 </w:t>
      </w:r>
      <w:r>
        <w:rPr/>
        <w:t>provides that the carbon component rate on aviation fuels will change to $0.05313 for gasoline and $0.06279 for kerosene from 1 July 2013. The following table sets out these changes and what sub-headings in Schedule 3 will be affected: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</w:p>
    <w:tbl>
      <w:tblPr>
        <w:tblW w:w="0" w:type="auto"/>
        <w:jc w:val="left"/>
        <w:tblInd w:w="14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1591"/>
        <w:gridCol w:w="1589"/>
        <w:gridCol w:w="1591"/>
        <w:gridCol w:w="1509"/>
        <w:gridCol w:w="1509"/>
      </w:tblGrid>
      <w:tr>
        <w:trPr>
          <w:trHeight w:val="1381" w:hRule="atLeast"/>
        </w:trPr>
        <w:tc>
          <w:tcPr>
            <w:tcW w:w="1243" w:type="dxa"/>
          </w:tcPr>
          <w:p>
            <w:pPr>
              <w:pStyle w:val="TableParagraph"/>
              <w:spacing w:line="230" w:lineRule="auto" w:before="2"/>
              <w:ind w:left="107" w:right="252"/>
              <w:rPr>
                <w:b/>
                <w:sz w:val="24"/>
              </w:rPr>
            </w:pPr>
            <w:r>
              <w:rPr>
                <w:b/>
                <w:sz w:val="24"/>
              </w:rPr>
              <w:t>Type of fuel</w:t>
            </w:r>
          </w:p>
        </w:tc>
        <w:tc>
          <w:tcPr>
            <w:tcW w:w="1591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Subheading</w:t>
            </w:r>
          </w:p>
        </w:tc>
        <w:tc>
          <w:tcPr>
            <w:tcW w:w="1589" w:type="dxa"/>
          </w:tcPr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Subheading</w:t>
            </w:r>
          </w:p>
        </w:tc>
        <w:tc>
          <w:tcPr>
            <w:tcW w:w="1591" w:type="dxa"/>
          </w:tcPr>
          <w:p>
            <w:pPr>
              <w:pStyle w:val="TableParagraph"/>
              <w:spacing w:line="27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Subheading</w:t>
            </w:r>
          </w:p>
        </w:tc>
        <w:tc>
          <w:tcPr>
            <w:tcW w:w="1509" w:type="dxa"/>
          </w:tcPr>
          <w:p>
            <w:pPr>
              <w:pStyle w:val="TableParagraph"/>
              <w:spacing w:line="230" w:lineRule="auto" w:before="2"/>
              <w:ind w:right="157"/>
              <w:rPr>
                <w:b/>
                <w:sz w:val="24"/>
              </w:rPr>
            </w:pPr>
            <w:r>
              <w:rPr>
                <w:b/>
                <w:sz w:val="24"/>
              </w:rPr>
              <w:t>Current Excise Equivalent Duty</w:t>
            </w:r>
          </w:p>
        </w:tc>
        <w:tc>
          <w:tcPr>
            <w:tcW w:w="1509" w:type="dxa"/>
          </w:tcPr>
          <w:p>
            <w:pPr>
              <w:pStyle w:val="TableParagraph"/>
              <w:spacing w:line="230" w:lineRule="auto" w:before="2"/>
              <w:ind w:right="105"/>
              <w:rPr>
                <w:b/>
                <w:sz w:val="24"/>
              </w:rPr>
            </w:pPr>
            <w:r>
              <w:rPr>
                <w:b/>
                <w:sz w:val="24"/>
              </w:rPr>
              <w:t>New Excise Equivalent Duty 1</w:t>
            </w:r>
            <w:r>
              <w:rPr>
                <w:b/>
                <w:spacing w:val="-3"/>
                <w:sz w:val="24"/>
              </w:rPr>
              <w:t> July</w:t>
            </w:r>
          </w:p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2013</w:t>
            </w:r>
          </w:p>
        </w:tc>
      </w:tr>
      <w:tr>
        <w:trPr>
          <w:trHeight w:val="1655" w:hRule="atLeast"/>
        </w:trPr>
        <w:tc>
          <w:tcPr>
            <w:tcW w:w="1243" w:type="dxa"/>
          </w:tcPr>
          <w:p>
            <w:pPr>
              <w:pStyle w:val="TableParagraph"/>
              <w:spacing w:line="235" w:lineRule="auto"/>
              <w:ind w:left="107" w:right="145"/>
              <w:rPr>
                <w:sz w:val="24"/>
              </w:rPr>
            </w:pPr>
            <w:r>
              <w:rPr>
                <w:sz w:val="24"/>
              </w:rPr>
              <w:t>Gasoline for use as fuel in aircraft</w:t>
            </w:r>
          </w:p>
        </w:tc>
        <w:tc>
          <w:tcPr>
            <w:tcW w:w="159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2710.12.61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2710.91.61</w:t>
            </w:r>
          </w:p>
        </w:tc>
        <w:tc>
          <w:tcPr>
            <w:tcW w:w="15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2710.99.61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$0.08616</w:t>
            </w:r>
          </w:p>
          <w:p>
            <w:pPr>
              <w:pStyle w:val="TableParagraph"/>
              <w:spacing w:line="240" w:lineRule="auto"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($0.0506</w:t>
            </w:r>
          </w:p>
          <w:p>
            <w:pPr>
              <w:pStyle w:val="TableParagraph"/>
              <w:spacing w:line="276" w:lineRule="exact" w:before="4"/>
              <w:ind w:right="183"/>
              <w:rPr>
                <w:sz w:val="24"/>
              </w:rPr>
            </w:pPr>
            <w:r>
              <w:rPr>
                <w:sz w:val="24"/>
              </w:rPr>
              <w:t>carbon component rate)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$0.08869</w:t>
            </w:r>
          </w:p>
          <w:p>
            <w:pPr>
              <w:pStyle w:val="TableParagraph"/>
              <w:spacing w:line="240" w:lineRule="auto"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($0.05313</w:t>
            </w:r>
          </w:p>
          <w:p>
            <w:pPr>
              <w:pStyle w:val="TableParagraph"/>
              <w:spacing w:line="276" w:lineRule="exact" w:before="4"/>
              <w:ind w:right="183"/>
              <w:rPr>
                <w:sz w:val="24"/>
              </w:rPr>
            </w:pPr>
            <w:r>
              <w:rPr>
                <w:sz w:val="24"/>
              </w:rPr>
              <w:t>carbon component rate)</w:t>
            </w:r>
          </w:p>
        </w:tc>
      </w:tr>
      <w:tr>
        <w:trPr>
          <w:trHeight w:val="1655" w:hRule="atLeast"/>
        </w:trPr>
        <w:tc>
          <w:tcPr>
            <w:tcW w:w="1243" w:type="dxa"/>
          </w:tcPr>
          <w:p>
            <w:pPr>
              <w:pStyle w:val="TableParagraph"/>
              <w:spacing w:line="235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Kerosene for use as fuel in aircraft</w:t>
            </w:r>
          </w:p>
        </w:tc>
        <w:tc>
          <w:tcPr>
            <w:tcW w:w="1591" w:type="dxa"/>
          </w:tcPr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2710.19.40</w:t>
            </w:r>
          </w:p>
        </w:tc>
        <w:tc>
          <w:tcPr>
            <w:tcW w:w="158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2710.91.40</w:t>
            </w:r>
          </w:p>
        </w:tc>
        <w:tc>
          <w:tcPr>
            <w:tcW w:w="159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2710.99.40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$0.09536</w:t>
            </w:r>
          </w:p>
          <w:p>
            <w:pPr>
              <w:pStyle w:val="TableParagraph"/>
              <w:spacing w:line="240" w:lineRule="auto"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($0.0598</w:t>
            </w:r>
          </w:p>
          <w:p>
            <w:pPr>
              <w:pStyle w:val="TableParagraph"/>
              <w:spacing w:line="276" w:lineRule="exact" w:before="4"/>
              <w:ind w:right="183"/>
              <w:rPr>
                <w:sz w:val="24"/>
              </w:rPr>
            </w:pPr>
            <w:r>
              <w:rPr>
                <w:sz w:val="24"/>
              </w:rPr>
              <w:t>carbon component rate)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$0.09835</w:t>
            </w:r>
          </w:p>
          <w:p>
            <w:pPr>
              <w:pStyle w:val="TableParagraph"/>
              <w:spacing w:line="240" w:lineRule="auto" w:before="11"/>
              <w:ind w:left="0"/>
              <w:rPr>
                <w:sz w:val="22"/>
              </w:rPr>
            </w:pPr>
          </w:p>
          <w:p>
            <w:pPr>
              <w:pStyle w:val="TableParagraph"/>
              <w:spacing w:line="279" w:lineRule="exact"/>
              <w:rPr>
                <w:sz w:val="24"/>
              </w:rPr>
            </w:pPr>
            <w:r>
              <w:rPr>
                <w:sz w:val="24"/>
              </w:rPr>
              <w:t>($0.06279</w:t>
            </w:r>
          </w:p>
          <w:p>
            <w:pPr>
              <w:pStyle w:val="TableParagraph"/>
              <w:spacing w:line="276" w:lineRule="exact" w:before="4"/>
              <w:ind w:right="183"/>
              <w:rPr>
                <w:sz w:val="24"/>
              </w:rPr>
            </w:pPr>
            <w:r>
              <w:rPr>
                <w:sz w:val="24"/>
              </w:rPr>
              <w:t>carbon component rate)</w:t>
            </w:r>
          </w:p>
        </w:tc>
      </w:tr>
    </w:tbl>
    <w:p>
      <w:pPr>
        <w:pStyle w:val="BodyText"/>
        <w:spacing w:before="9"/>
        <w:rPr>
          <w:sz w:val="17"/>
        </w:rPr>
      </w:pPr>
    </w:p>
    <w:p>
      <w:pPr>
        <w:pStyle w:val="BodyText"/>
        <w:spacing w:line="279" w:lineRule="exact" w:before="60"/>
        <w:ind w:left="1521"/>
      </w:pPr>
      <w:r>
        <w:rPr/>
        <w:t>In addition, the same carbon component rate changes will take effect on</w:t>
      </w:r>
    </w:p>
    <w:p>
      <w:pPr>
        <w:pStyle w:val="BodyText"/>
        <w:spacing w:line="232" w:lineRule="auto" w:before="3"/>
        <w:ind w:left="1521" w:right="1681"/>
      </w:pPr>
      <w:r>
        <w:rPr/>
        <w:t>1 July 2013 on all corresponding table items in the Free Trade Agreements set out in Schedules 5, 6, 7, 8, and 9 of the </w:t>
      </w:r>
      <w:r>
        <w:rPr>
          <w:i/>
        </w:rPr>
        <w:t>Customs Tariff Act 1995</w:t>
      </w:r>
      <w:r>
        <w:rPr/>
        <w:t>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1521"/>
      </w:pPr>
      <w:r>
        <w:rPr>
          <w:u w:val="single"/>
        </w:rPr>
        <w:t>Cheese and curd treatment code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line="237" w:lineRule="auto"/>
        <w:ind w:left="1521" w:right="1747"/>
      </w:pPr>
      <w:r>
        <w:rPr/>
        <w:t>Item 55 of Schedule 4 of the </w:t>
      </w:r>
      <w:r>
        <w:rPr>
          <w:i/>
        </w:rPr>
        <w:t>Customs Tariff Act 1995 </w:t>
      </w:r>
      <w:r>
        <w:rPr/>
        <w:t>provides a concessional rate of duty on goods for which the cheese and curd quota applies.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1521" w:right="1614"/>
      </w:pPr>
      <w:r>
        <w:rPr/>
        <w:t>At present, item 55 is administered through treatment code 462. However, from 1 July 2013, item 55 will be administered through treatment code 755.</w:t>
      </w:r>
    </w:p>
    <w:p>
      <w:pPr>
        <w:pStyle w:val="BodyText"/>
        <w:rPr>
          <w:sz w:val="23"/>
        </w:rPr>
      </w:pPr>
    </w:p>
    <w:p>
      <w:pPr>
        <w:pStyle w:val="BodyText"/>
        <w:ind w:left="1521"/>
      </w:pPr>
      <w:r>
        <w:rPr>
          <w:u w:val="single"/>
        </w:rPr>
        <w:t>New item 17 by-law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5" w:lineRule="auto"/>
        <w:ind w:left="1521" w:right="1720"/>
      </w:pPr>
      <w:r>
        <w:rPr/>
        <w:t>Item 17 of Schedule 4 of the </w:t>
      </w:r>
      <w:r>
        <w:rPr>
          <w:i/>
        </w:rPr>
        <w:t>Customs Tariff Act 1995 </w:t>
      </w:r>
      <w:r>
        <w:rPr/>
        <w:t>provides a concessional rate of duty on goods exported and returned to Australia in an unaltered condition. The by-law attached to item 17 sets out the conditions of use for the item.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 w:before="1"/>
        <w:ind w:left="1521" w:right="1828"/>
      </w:pPr>
      <w:r>
        <w:rPr/>
        <w:t>The item 17 by-law will be revoked and re-made to correct an omission made during the completion of the new Schedule 4 arrangements. New By-law No. 0176871 is set to commence on 1 July 2013.</w:t>
      </w:r>
    </w:p>
    <w:p>
      <w:pPr>
        <w:spacing w:after="0" w:line="235" w:lineRule="auto"/>
        <w:sectPr>
          <w:footerReference w:type="default" r:id="rId6"/>
          <w:pgSz w:w="11900" w:h="16840"/>
          <w:pgMar w:footer="799" w:header="0" w:top="1360" w:bottom="980" w:left="180" w:right="160"/>
          <w:pgNumType w:start="2"/>
        </w:sectPr>
      </w:pPr>
    </w:p>
    <w:p>
      <w:pPr>
        <w:pStyle w:val="BodyText"/>
        <w:spacing w:before="41"/>
        <w:ind w:left="1521"/>
      </w:pPr>
      <w:r>
        <w:rPr>
          <w:u w:val="single"/>
        </w:rPr>
        <w:t>Statistical code and AHECC changes</w:t>
      </w:r>
    </w:p>
    <w:p>
      <w:pPr>
        <w:pStyle w:val="BodyText"/>
        <w:spacing w:before="11"/>
        <w:rPr>
          <w:sz w:val="17"/>
        </w:rPr>
      </w:pPr>
    </w:p>
    <w:p>
      <w:pPr>
        <w:pStyle w:val="BodyText"/>
        <w:spacing w:line="235" w:lineRule="auto" w:before="64"/>
        <w:ind w:left="1521" w:right="1988"/>
      </w:pPr>
      <w:r>
        <w:rPr/>
        <w:t>The Australian Bureau of Statistics has advised there are no statistical code changes in the Customs Tariff Working Pages.</w:t>
      </w:r>
    </w:p>
    <w:p>
      <w:pPr>
        <w:pStyle w:val="BodyText"/>
        <w:rPr>
          <w:sz w:val="23"/>
        </w:rPr>
      </w:pPr>
    </w:p>
    <w:p>
      <w:pPr>
        <w:pStyle w:val="BodyText"/>
        <w:spacing w:line="470" w:lineRule="auto" w:after="40"/>
        <w:ind w:left="1521" w:right="3322"/>
      </w:pPr>
      <w:r>
        <w:rPr/>
        <w:t>Further, there will be no changes to the AHECC at 1 July 2013. </w:t>
      </w:r>
      <w:r>
        <w:rPr>
          <w:u w:val="single"/>
        </w:rPr>
        <w:t>Tariff Working Pages reprinted</w:t>
      </w:r>
    </w:p>
    <w:tbl>
      <w:tblPr>
        <w:tblW w:w="0" w:type="auto"/>
        <w:jc w:val="left"/>
        <w:tblInd w:w="1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3"/>
        <w:gridCol w:w="1667"/>
        <w:gridCol w:w="1842"/>
        <w:gridCol w:w="1708"/>
      </w:tblGrid>
      <w:tr>
        <w:trPr>
          <w:trHeight w:val="395" w:hRule="atLeast"/>
        </w:trPr>
        <w:tc>
          <w:tcPr>
            <w:tcW w:w="1573" w:type="dxa"/>
          </w:tcPr>
          <w:p>
            <w:pPr>
              <w:pStyle w:val="TableParagraph"/>
              <w:spacing w:line="241" w:lineRule="exact"/>
              <w:ind w:left="50"/>
              <w:rPr>
                <w:sz w:val="24"/>
              </w:rPr>
            </w:pPr>
            <w:r>
              <w:rPr>
                <w:sz w:val="24"/>
                <w:u w:val="single"/>
              </w:rPr>
              <w:t>Schedule 3</w:t>
            </w:r>
          </w:p>
        </w:tc>
        <w:tc>
          <w:tcPr>
            <w:tcW w:w="5217" w:type="dxa"/>
            <w:gridSpan w:val="3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51" w:hRule="atLeast"/>
        </w:trPr>
        <w:tc>
          <w:tcPr>
            <w:tcW w:w="1573" w:type="dxa"/>
          </w:tcPr>
          <w:p>
            <w:pPr>
              <w:pStyle w:val="TableParagraph"/>
              <w:spacing w:line="240" w:lineRule="auto" w:before="115"/>
              <w:ind w:left="157"/>
              <w:rPr>
                <w:sz w:val="24"/>
              </w:rPr>
            </w:pPr>
            <w:r>
              <w:rPr>
                <w:sz w:val="24"/>
              </w:rPr>
              <w:t>4/3(R.5)</w:t>
            </w:r>
          </w:p>
        </w:tc>
        <w:tc>
          <w:tcPr>
            <w:tcW w:w="1667" w:type="dxa"/>
          </w:tcPr>
          <w:p>
            <w:pPr>
              <w:pStyle w:val="TableParagraph"/>
              <w:spacing w:line="240" w:lineRule="auto" w:before="115"/>
              <w:ind w:left="145"/>
              <w:rPr>
                <w:sz w:val="24"/>
              </w:rPr>
            </w:pPr>
            <w:r>
              <w:rPr>
                <w:sz w:val="24"/>
              </w:rPr>
              <w:t>4/5 (R.8)</w:t>
            </w:r>
          </w:p>
        </w:tc>
        <w:tc>
          <w:tcPr>
            <w:tcW w:w="1842" w:type="dxa"/>
          </w:tcPr>
          <w:p>
            <w:pPr>
              <w:pStyle w:val="TableParagraph"/>
              <w:spacing w:line="240" w:lineRule="auto" w:before="115"/>
              <w:ind w:left="235" w:right="301"/>
              <w:jc w:val="center"/>
              <w:rPr>
                <w:sz w:val="24"/>
              </w:rPr>
            </w:pPr>
            <w:r>
              <w:rPr>
                <w:sz w:val="24"/>
              </w:rPr>
              <w:t>27/7(R.25)</w:t>
            </w:r>
          </w:p>
        </w:tc>
        <w:tc>
          <w:tcPr>
            <w:tcW w:w="1708" w:type="dxa"/>
          </w:tcPr>
          <w:p>
            <w:pPr>
              <w:pStyle w:val="TableParagraph"/>
              <w:spacing w:line="240" w:lineRule="auto" w:before="115"/>
              <w:ind w:left="319"/>
              <w:rPr>
                <w:sz w:val="24"/>
              </w:rPr>
            </w:pPr>
            <w:r>
              <w:rPr>
                <w:sz w:val="24"/>
              </w:rPr>
              <w:t>27/11 (R.11)</w:t>
            </w:r>
          </w:p>
        </w:tc>
      </w:tr>
      <w:tr>
        <w:trPr>
          <w:trHeight w:val="395" w:hRule="atLeast"/>
        </w:trPr>
        <w:tc>
          <w:tcPr>
            <w:tcW w:w="1573" w:type="dxa"/>
          </w:tcPr>
          <w:p>
            <w:pPr>
              <w:pStyle w:val="TableParagraph"/>
              <w:spacing w:line="261" w:lineRule="exact" w:before="115"/>
              <w:ind w:left="157"/>
              <w:rPr>
                <w:sz w:val="24"/>
              </w:rPr>
            </w:pPr>
            <w:r>
              <w:rPr>
                <w:sz w:val="24"/>
              </w:rPr>
              <w:t>27/13(R.11)</w:t>
            </w:r>
          </w:p>
        </w:tc>
        <w:tc>
          <w:tcPr>
            <w:tcW w:w="1667" w:type="dxa"/>
          </w:tcPr>
          <w:p>
            <w:pPr>
              <w:pStyle w:val="TableParagraph"/>
              <w:spacing w:line="261" w:lineRule="exact" w:before="115"/>
              <w:ind w:left="144"/>
              <w:rPr>
                <w:sz w:val="24"/>
              </w:rPr>
            </w:pPr>
            <w:r>
              <w:rPr>
                <w:sz w:val="24"/>
              </w:rPr>
              <w:t>27/15 (R.6)</w:t>
            </w:r>
          </w:p>
        </w:tc>
        <w:tc>
          <w:tcPr>
            <w:tcW w:w="1842" w:type="dxa"/>
          </w:tcPr>
          <w:p>
            <w:pPr>
              <w:pStyle w:val="TableParagraph"/>
              <w:spacing w:line="261" w:lineRule="exact" w:before="115"/>
              <w:ind w:left="300" w:right="301"/>
              <w:jc w:val="center"/>
              <w:rPr>
                <w:sz w:val="24"/>
              </w:rPr>
            </w:pPr>
            <w:r>
              <w:rPr>
                <w:sz w:val="24"/>
              </w:rPr>
              <w:t>27/17 (R.6)</w:t>
            </w:r>
          </w:p>
        </w:tc>
        <w:tc>
          <w:tcPr>
            <w:tcW w:w="1708" w:type="dxa"/>
          </w:tcPr>
          <w:p>
            <w:pPr>
              <w:pStyle w:val="TableParagraph"/>
              <w:spacing w:line="261" w:lineRule="exact" w:before="115"/>
              <w:ind w:left="319"/>
              <w:rPr>
                <w:sz w:val="24"/>
              </w:rPr>
            </w:pPr>
            <w:r>
              <w:rPr>
                <w:sz w:val="24"/>
              </w:rPr>
              <w:t>27/19 (R.5)</w:t>
            </w:r>
          </w:p>
        </w:tc>
      </w:tr>
    </w:tbl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35" w:lineRule="auto" w:before="1"/>
        <w:ind w:left="1629" w:right="8819" w:hanging="109"/>
      </w:pPr>
      <w:r>
        <w:rPr>
          <w:u w:val="single"/>
        </w:rPr>
        <w:t>Schedule 4</w:t>
      </w:r>
      <w:r>
        <w:rPr/>
        <w:t> 4/21(R.1)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35" w:lineRule="auto"/>
        <w:ind w:left="1629" w:right="5923" w:hanging="108"/>
      </w:pPr>
      <w:r>
        <w:rPr>
          <w:u w:val="single"/>
        </w:rPr>
        <w:t>Schedule of Concessional Instruments</w:t>
      </w:r>
      <w:r>
        <w:rPr/>
        <w:t> Part2/35 (R.1)</w:t>
      </w:r>
    </w:p>
    <w:p>
      <w:pPr>
        <w:pStyle w:val="BodyText"/>
        <w:spacing w:line="470" w:lineRule="auto"/>
        <w:ind w:left="1521" w:right="7978" w:firstLine="108"/>
      </w:pPr>
      <w:r>
        <w:rPr/>
        <w:t>Part2/37(R.2) </w:t>
      </w:r>
      <w:r>
        <w:rPr>
          <w:u w:val="single"/>
        </w:rPr>
        <w:t>Further Information</w:t>
      </w:r>
    </w:p>
    <w:p>
      <w:pPr>
        <w:pStyle w:val="BodyText"/>
        <w:spacing w:line="235" w:lineRule="auto"/>
        <w:ind w:left="1521" w:right="2027"/>
      </w:pPr>
      <w:r>
        <w:rPr/>
        <w:t>For further information on the aforementioned changes to excise equivalent duty rates refer to Australian Customs and Border Protection Notice No.</w:t>
      </w:r>
    </w:p>
    <w:p>
      <w:pPr>
        <w:pStyle w:val="BodyText"/>
        <w:spacing w:line="277" w:lineRule="exact"/>
        <w:ind w:left="1521"/>
      </w:pPr>
      <w:r>
        <w:rPr/>
        <w:t>2011/47.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35" w:lineRule="auto"/>
        <w:ind w:left="1521" w:right="1814"/>
      </w:pPr>
      <w:r>
        <w:rPr/>
        <w:t>Information on fuel tax credits and excise equivalent changes to clean energy can also be found </w:t>
      </w:r>
      <w:r>
        <w:rPr>
          <w:color w:val="0000FF"/>
          <w:u w:val="single" w:color="0000FF"/>
        </w:rPr>
        <w:t>here</w:t>
      </w:r>
      <w:r>
        <w:rPr>
          <w:color w:val="0000FF"/>
        </w:rPr>
        <w:t> </w:t>
      </w:r>
      <w:r>
        <w:rPr/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235" w:lineRule="auto" w:before="64"/>
        <w:ind w:left="1521" w:right="2615"/>
      </w:pPr>
      <w:r>
        <w:rPr/>
        <w:t>Inquiries concerning this Notice may be directed to the Manager Tariff Legislation on telephone number 02 6275 6542.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79" w:lineRule="exact"/>
        <w:ind w:left="1521"/>
      </w:pPr>
      <w:r>
        <w:rPr/>
        <w:t>(signed)</w:t>
      </w:r>
    </w:p>
    <w:p>
      <w:pPr>
        <w:pStyle w:val="BodyText"/>
        <w:spacing w:line="235" w:lineRule="auto" w:before="2"/>
        <w:ind w:left="1521" w:right="7978"/>
      </w:pPr>
      <w:r>
        <w:rPr/>
        <w:t>Geoff Johannes National</w:t>
      </w:r>
      <w:r>
        <w:rPr>
          <w:spacing w:val="6"/>
        </w:rPr>
        <w:t> </w:t>
      </w:r>
      <w:r>
        <w:rPr>
          <w:spacing w:val="-3"/>
        </w:rPr>
        <w:t>Manager</w:t>
      </w:r>
    </w:p>
    <w:p>
      <w:pPr>
        <w:pStyle w:val="BodyText"/>
        <w:spacing w:line="235" w:lineRule="auto"/>
        <w:ind w:left="1521" w:right="5683"/>
      </w:pPr>
      <w:r>
        <w:rPr/>
        <w:t>Trade Policy and Implementation Branch CANBERRA ACT</w:t>
      </w:r>
    </w:p>
    <w:p>
      <w:pPr>
        <w:pStyle w:val="BodyText"/>
        <w:spacing w:line="277" w:lineRule="exact"/>
        <w:ind w:left="1521"/>
      </w:pPr>
      <w:r>
        <w:rPr/>
        <w:t>27 June 2013</w:t>
      </w:r>
    </w:p>
    <w:sectPr>
      <w:pgSz w:w="11900" w:h="16840"/>
      <w:pgMar w:header="0" w:footer="799" w:top="1360" w:bottom="9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1.720184pt;margin-top:791.037659pt;width:11.55pt;height:12pt;mso-position-horizontal-relative:page;mso-position-vertical-relative:page;z-index:-15859200" type="#_x0000_t202" filled="false" stroked="false">
          <v:textbox inset="0,0,0,0">
            <w:txbxContent>
              <w:p>
                <w:pPr>
                  <w:spacing w:line="220" w:lineRule="exact" w:before="0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4"/>
      <w:szCs w:val="24"/>
    </w:rPr>
  </w:style>
  <w:style w:styleId="Title" w:type="paragraph">
    <w:name w:val="Title"/>
    <w:basedOn w:val="Normal"/>
    <w:uiPriority w:val="1"/>
    <w:qFormat/>
    <w:pPr>
      <w:spacing w:before="59"/>
      <w:ind w:left="1521" w:right="1608" w:hanging="3368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275" w:lineRule="exact"/>
      <w:ind w:left="108"/>
    </w:pPr>
    <w:rPr>
      <w:rFonts w:ascii="Helvetica" w:hAnsi="Helvetica" w:eastAsia="Helvetica" w:cs="Helvetic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C8IVS</dc:creator>
  <dc:title>Microsoft Word - ACN for aviation fuel changes V3 \(4\)</dc:title>
  <dcterms:created xsi:type="dcterms:W3CDTF">2020-12-09T23:07:11Z</dcterms:created>
  <dcterms:modified xsi:type="dcterms:W3CDTF">2020-12-09T23:07:11Z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