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sz w:val="20"/>
        </w:rPr>
      </w:r>
    </w:p>
    <w:p>
      <w:pPr>
        <w:pStyle w:val="BodyText"/>
        <w:spacing w:before="2"/>
        <w:rPr>
          <w:rFonts w:ascii="Times New Roman"/>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2013/27</w:t>
      </w:r>
    </w:p>
    <w:p>
      <w:pPr>
        <w:pStyle w:val="Title"/>
      </w:pPr>
      <w:r>
        <w:rPr/>
        <w:t>Application for Customs Broker Licence</w:t>
      </w:r>
    </w:p>
    <w:p>
      <w:pPr>
        <w:pStyle w:val="BodyText"/>
        <w:spacing w:before="9"/>
        <w:rPr>
          <w:b/>
          <w:sz w:val="24"/>
        </w:rPr>
      </w:pPr>
    </w:p>
    <w:p>
      <w:pPr>
        <w:pStyle w:val="BodyText"/>
        <w:ind w:left="1519" w:right="2006"/>
      </w:pPr>
      <w:r>
        <w:rPr/>
        <w:t>The following companies and individuals have applied to the Chief Executive Officer of the Australian Customs and Border Protection Service (ACBPS) for a customs broker licence.</w:t>
      </w:r>
    </w:p>
    <w:p>
      <w:pPr>
        <w:pStyle w:val="BodyText"/>
        <w:spacing w:before="4"/>
      </w:pPr>
    </w:p>
    <w:tbl>
      <w:tblPr>
        <w:tblW w:w="0" w:type="auto"/>
        <w:jc w:val="left"/>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0"/>
        <w:gridCol w:w="4528"/>
      </w:tblGrid>
      <w:tr>
        <w:trPr>
          <w:trHeight w:val="3407" w:hRule="atLeast"/>
        </w:trPr>
        <w:tc>
          <w:tcPr>
            <w:tcW w:w="4600" w:type="dxa"/>
            <w:tcBorders>
              <w:bottom w:val="nil"/>
            </w:tcBorders>
          </w:tcPr>
          <w:p>
            <w:pPr>
              <w:pStyle w:val="TableParagraph"/>
              <w:spacing w:line="201" w:lineRule="exact"/>
              <w:rPr>
                <w:b/>
                <w:sz w:val="18"/>
              </w:rPr>
            </w:pPr>
            <w:r>
              <w:rPr>
                <w:b/>
                <w:sz w:val="18"/>
                <w:u w:val="single"/>
              </w:rPr>
              <w:t>COMPANY NAME</w:t>
            </w:r>
          </w:p>
          <w:p>
            <w:pPr>
              <w:pStyle w:val="TableParagraph"/>
              <w:ind w:right="2747"/>
              <w:rPr>
                <w:sz w:val="18"/>
              </w:rPr>
            </w:pPr>
            <w:r>
              <w:rPr>
                <w:spacing w:val="-2"/>
                <w:sz w:val="18"/>
              </w:rPr>
              <w:t>NMT </w:t>
            </w:r>
            <w:r>
              <w:rPr>
                <w:sz w:val="18"/>
              </w:rPr>
              <w:t>Oceania Pty Ltd ABN 74 150 918</w:t>
            </w:r>
            <w:r>
              <w:rPr>
                <w:spacing w:val="-3"/>
                <w:sz w:val="18"/>
              </w:rPr>
              <w:t> </w:t>
            </w:r>
            <w:r>
              <w:rPr>
                <w:sz w:val="18"/>
              </w:rPr>
              <w:t>040</w:t>
            </w:r>
          </w:p>
          <w:p>
            <w:pPr>
              <w:pStyle w:val="TableParagraph"/>
              <w:spacing w:line="244" w:lineRule="auto"/>
              <w:ind w:right="2005"/>
              <w:rPr>
                <w:sz w:val="18"/>
              </w:rPr>
            </w:pPr>
            <w:r>
              <w:rPr>
                <w:sz w:val="18"/>
              </w:rPr>
              <w:t>Unit </w:t>
            </w:r>
            <w:r>
              <w:rPr>
                <w:spacing w:val="-3"/>
                <w:sz w:val="18"/>
              </w:rPr>
              <w:t>7B, 191 Hedley </w:t>
            </w:r>
            <w:r>
              <w:rPr>
                <w:sz w:val="18"/>
              </w:rPr>
              <w:t>Avenue HENDRA QLD</w:t>
            </w:r>
            <w:r>
              <w:rPr>
                <w:spacing w:val="-5"/>
                <w:sz w:val="18"/>
              </w:rPr>
              <w:t> </w:t>
            </w:r>
            <w:r>
              <w:rPr>
                <w:sz w:val="18"/>
              </w:rPr>
              <w:t>4011</w:t>
            </w:r>
          </w:p>
          <w:p>
            <w:pPr>
              <w:pStyle w:val="TableParagraph"/>
              <w:spacing w:before="5"/>
              <w:ind w:left="0"/>
              <w:rPr>
                <w:sz w:val="17"/>
              </w:rPr>
            </w:pPr>
          </w:p>
          <w:p>
            <w:pPr>
              <w:pStyle w:val="TableParagraph"/>
              <w:ind w:right="2659"/>
              <w:rPr>
                <w:sz w:val="18"/>
              </w:rPr>
            </w:pPr>
            <w:r>
              <w:rPr>
                <w:b/>
                <w:sz w:val="18"/>
              </w:rPr>
              <w:t>Persons in Authority </w:t>
            </w:r>
            <w:r>
              <w:rPr>
                <w:sz w:val="18"/>
              </w:rPr>
              <w:t>DUNNING, Shaun SHULTE, Joseph Paul VAN ELK, Steven</w:t>
            </w:r>
          </w:p>
          <w:p>
            <w:pPr>
              <w:pStyle w:val="TableParagraph"/>
              <w:ind w:right="2005"/>
              <w:rPr>
                <w:sz w:val="18"/>
              </w:rPr>
            </w:pPr>
            <w:r>
              <w:rPr>
                <w:sz w:val="18"/>
              </w:rPr>
              <w:t>DIX, Francais Johannes BROCK-SMITH, Errol Brendon</w:t>
            </w:r>
          </w:p>
          <w:p>
            <w:pPr>
              <w:pStyle w:val="TableParagraph"/>
              <w:spacing w:before="1"/>
              <w:ind w:left="0"/>
              <w:rPr>
                <w:sz w:val="18"/>
              </w:rPr>
            </w:pPr>
          </w:p>
          <w:p>
            <w:pPr>
              <w:pStyle w:val="TableParagraph"/>
              <w:ind w:right="2169"/>
              <w:rPr>
                <w:sz w:val="18"/>
              </w:rPr>
            </w:pPr>
            <w:r>
              <w:rPr>
                <w:b/>
                <w:sz w:val="18"/>
              </w:rPr>
              <w:t>Nominee Brokers </w:t>
            </w:r>
            <w:r>
              <w:rPr>
                <w:sz w:val="18"/>
              </w:rPr>
              <w:t>RADAICH, Daniel Gordon VOSSELER, Russell William</w:t>
            </w:r>
          </w:p>
        </w:tc>
        <w:tc>
          <w:tcPr>
            <w:tcW w:w="4528" w:type="dxa"/>
            <w:vMerge w:val="restart"/>
          </w:tcPr>
          <w:p>
            <w:pPr>
              <w:pStyle w:val="TableParagraph"/>
              <w:spacing w:line="201" w:lineRule="exact"/>
              <w:rPr>
                <w:b/>
                <w:sz w:val="18"/>
              </w:rPr>
            </w:pPr>
            <w:r>
              <w:rPr>
                <w:b/>
                <w:sz w:val="18"/>
                <w:u w:val="single"/>
              </w:rPr>
              <w:t>COMPANY NAME</w:t>
            </w:r>
          </w:p>
          <w:p>
            <w:pPr>
              <w:pStyle w:val="TableParagraph"/>
              <w:ind w:right="1984"/>
              <w:jc w:val="both"/>
              <w:rPr>
                <w:sz w:val="18"/>
              </w:rPr>
            </w:pPr>
            <w:r>
              <w:rPr>
                <w:sz w:val="18"/>
              </w:rPr>
              <w:t>(Amendment to ACN 2013/24) FTA Food Solutions PTY LTD ABN 82 059 480 054</w:t>
            </w:r>
          </w:p>
          <w:p>
            <w:pPr>
              <w:pStyle w:val="TableParagraph"/>
              <w:spacing w:line="207" w:lineRule="exact" w:before="3"/>
              <w:jc w:val="both"/>
              <w:rPr>
                <w:sz w:val="18"/>
              </w:rPr>
            </w:pPr>
            <w:r>
              <w:rPr>
                <w:sz w:val="18"/>
              </w:rPr>
              <w:t>41-45 Slough</w:t>
            </w:r>
            <w:r>
              <w:rPr>
                <w:spacing w:val="-1"/>
                <w:sz w:val="18"/>
              </w:rPr>
              <w:t> </w:t>
            </w:r>
            <w:r>
              <w:rPr>
                <w:sz w:val="18"/>
              </w:rPr>
              <w:t>Road</w:t>
            </w:r>
          </w:p>
          <w:p>
            <w:pPr>
              <w:pStyle w:val="TableParagraph"/>
              <w:spacing w:line="207" w:lineRule="exact"/>
              <w:rPr>
                <w:sz w:val="18"/>
              </w:rPr>
            </w:pPr>
            <w:r>
              <w:rPr>
                <w:sz w:val="18"/>
              </w:rPr>
              <w:t>ALTONA VIC</w:t>
            </w:r>
            <w:r>
              <w:rPr>
                <w:spacing w:val="-1"/>
                <w:sz w:val="18"/>
              </w:rPr>
              <w:t> </w:t>
            </w:r>
            <w:r>
              <w:rPr>
                <w:sz w:val="18"/>
              </w:rPr>
              <w:t>3018</w:t>
            </w:r>
          </w:p>
          <w:p>
            <w:pPr>
              <w:pStyle w:val="TableParagraph"/>
              <w:spacing w:before="10"/>
              <w:ind w:left="0"/>
              <w:rPr>
                <w:sz w:val="17"/>
              </w:rPr>
            </w:pPr>
          </w:p>
          <w:p>
            <w:pPr>
              <w:pStyle w:val="TableParagraph"/>
              <w:ind w:right="2347"/>
              <w:rPr>
                <w:sz w:val="18"/>
              </w:rPr>
            </w:pPr>
            <w:r>
              <w:rPr>
                <w:b/>
                <w:sz w:val="18"/>
              </w:rPr>
              <w:t>Persons in Authority </w:t>
            </w:r>
            <w:r>
              <w:rPr>
                <w:sz w:val="18"/>
              </w:rPr>
              <w:t>BURGESS, Robert Bruce WARD, Helen Margaret WARD, Steven David</w:t>
            </w:r>
          </w:p>
          <w:p>
            <w:pPr>
              <w:pStyle w:val="TableParagraph"/>
              <w:spacing w:before="10"/>
              <w:ind w:left="0"/>
              <w:rPr>
                <w:sz w:val="19"/>
              </w:rPr>
            </w:pPr>
          </w:p>
          <w:p>
            <w:pPr>
              <w:pStyle w:val="TableParagraph"/>
              <w:spacing w:line="207" w:lineRule="exact"/>
              <w:jc w:val="both"/>
              <w:rPr>
                <w:b/>
                <w:sz w:val="18"/>
              </w:rPr>
            </w:pPr>
            <w:r>
              <w:rPr>
                <w:b/>
                <w:sz w:val="18"/>
              </w:rPr>
              <w:t>Nominee Broker</w:t>
            </w:r>
          </w:p>
          <w:p>
            <w:pPr>
              <w:pStyle w:val="TableParagraph"/>
              <w:spacing w:line="207" w:lineRule="exact"/>
              <w:rPr>
                <w:sz w:val="18"/>
              </w:rPr>
            </w:pPr>
            <w:r>
              <w:rPr>
                <w:sz w:val="18"/>
              </w:rPr>
              <w:t>WILCOX, Stephen</w:t>
            </w:r>
          </w:p>
        </w:tc>
      </w:tr>
      <w:tr>
        <w:trPr>
          <w:trHeight w:val="1551" w:hRule="atLeast"/>
        </w:trPr>
        <w:tc>
          <w:tcPr>
            <w:tcW w:w="4600" w:type="dxa"/>
            <w:tcBorders>
              <w:top w:val="nil"/>
            </w:tcBorders>
          </w:tcPr>
          <w:p>
            <w:pPr>
              <w:pStyle w:val="TableParagraph"/>
              <w:spacing w:line="207" w:lineRule="exact" w:before="96"/>
              <w:rPr>
                <w:b/>
                <w:sz w:val="18"/>
              </w:rPr>
            </w:pPr>
            <w:r>
              <w:rPr>
                <w:b/>
                <w:sz w:val="18"/>
                <w:u w:val="single"/>
              </w:rPr>
              <w:t>INDIVIDUALS</w:t>
            </w:r>
          </w:p>
          <w:p>
            <w:pPr>
              <w:pStyle w:val="TableParagraph"/>
              <w:ind w:right="2269"/>
              <w:rPr>
                <w:sz w:val="18"/>
              </w:rPr>
            </w:pPr>
            <w:r>
              <w:rPr>
                <w:sz w:val="18"/>
              </w:rPr>
              <w:t>HUI, Wai Ying FARRAUGIA, Jacob Simon WU, Yun</w:t>
            </w:r>
          </w:p>
          <w:p>
            <w:pPr>
              <w:pStyle w:val="TableParagraph"/>
              <w:spacing w:before="2"/>
              <w:ind w:right="2689"/>
              <w:rPr>
                <w:sz w:val="18"/>
              </w:rPr>
            </w:pPr>
            <w:r>
              <w:rPr>
                <w:sz w:val="18"/>
              </w:rPr>
              <w:t>STANLEY, Melissa Jo HOLMES, Lee</w:t>
            </w:r>
          </w:p>
          <w:p>
            <w:pPr>
              <w:pStyle w:val="TableParagraph"/>
              <w:spacing w:line="191" w:lineRule="exact"/>
              <w:rPr>
                <w:sz w:val="18"/>
              </w:rPr>
            </w:pPr>
            <w:r>
              <w:rPr>
                <w:sz w:val="18"/>
              </w:rPr>
              <w:t>ENGLISH, Kacie Leigh</w:t>
            </w:r>
          </w:p>
        </w:tc>
        <w:tc>
          <w:tcPr>
            <w:tcW w:w="4528" w:type="dxa"/>
            <w:vMerge/>
            <w:tcBorders>
              <w:top w:val="nil"/>
            </w:tcBorders>
          </w:tcPr>
          <w:p>
            <w:pPr>
              <w:rPr>
                <w:sz w:val="2"/>
                <w:szCs w:val="2"/>
              </w:rPr>
            </w:pPr>
          </w:p>
        </w:tc>
      </w:tr>
    </w:tbl>
    <w:p>
      <w:pPr>
        <w:pStyle w:val="BodyText"/>
        <w:spacing w:before="5"/>
        <w:rPr>
          <w:sz w:val="17"/>
        </w:rPr>
      </w:pPr>
    </w:p>
    <w:p>
      <w:pPr>
        <w:pStyle w:val="BodyText"/>
        <w:spacing w:before="1"/>
        <w:ind w:left="1519" w:right="1596"/>
      </w:pPr>
      <w:r>
        <w:rPr/>
        <w:t>Any persons wishing to make written representation in respect of these applications should address the correspondence by Thursday 1 August 2013 to:</w:t>
      </w:r>
    </w:p>
    <w:p>
      <w:pPr>
        <w:pStyle w:val="BodyText"/>
        <w:spacing w:before="6"/>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4"/>
        <w:gridCol w:w="4706"/>
      </w:tblGrid>
      <w:tr>
        <w:trPr>
          <w:trHeight w:val="1029" w:hRule="atLeast"/>
        </w:trPr>
        <w:tc>
          <w:tcPr>
            <w:tcW w:w="3634" w:type="dxa"/>
          </w:tcPr>
          <w:p>
            <w:pPr>
              <w:pStyle w:val="TableParagraph"/>
              <w:spacing w:line="203" w:lineRule="exact"/>
              <w:ind w:left="200"/>
              <w:rPr>
                <w:sz w:val="18"/>
              </w:rPr>
            </w:pPr>
            <w:r>
              <w:rPr>
                <w:sz w:val="18"/>
              </w:rPr>
              <w:t>Broker Licensing</w:t>
            </w:r>
          </w:p>
          <w:p>
            <w:pPr>
              <w:pStyle w:val="TableParagraph"/>
              <w:ind w:left="200" w:right="912"/>
              <w:rPr>
                <w:sz w:val="18"/>
              </w:rPr>
            </w:pPr>
            <w:r>
              <w:rPr>
                <w:sz w:val="18"/>
              </w:rPr>
              <w:t>Australian Customs and Border Protection Service</w:t>
            </w:r>
          </w:p>
          <w:p>
            <w:pPr>
              <w:pStyle w:val="TableParagraph"/>
              <w:spacing w:line="206" w:lineRule="exact"/>
              <w:ind w:left="200"/>
              <w:rPr>
                <w:sz w:val="18"/>
              </w:rPr>
            </w:pPr>
            <w:r>
              <w:rPr>
                <w:sz w:val="18"/>
              </w:rPr>
              <w:t>5 Constitution Avenue</w:t>
            </w:r>
          </w:p>
          <w:p>
            <w:pPr>
              <w:pStyle w:val="TableParagraph"/>
              <w:spacing w:line="187" w:lineRule="exact"/>
              <w:ind w:left="200"/>
              <w:rPr>
                <w:sz w:val="18"/>
              </w:rPr>
            </w:pPr>
            <w:r>
              <w:rPr>
                <w:sz w:val="18"/>
              </w:rPr>
              <w:t>CANBERRA ACT 2601</w:t>
            </w:r>
          </w:p>
        </w:tc>
        <w:tc>
          <w:tcPr>
            <w:tcW w:w="4706" w:type="dxa"/>
          </w:tcPr>
          <w:p>
            <w:pPr>
              <w:pStyle w:val="TableParagraph"/>
              <w:spacing w:before="4"/>
              <w:ind w:left="0"/>
              <w:rPr>
                <w:sz w:val="26"/>
              </w:rPr>
            </w:pPr>
          </w:p>
          <w:p>
            <w:pPr>
              <w:pStyle w:val="TableParagraph"/>
              <w:ind w:left="931"/>
              <w:rPr>
                <w:sz w:val="18"/>
              </w:rPr>
            </w:pPr>
            <w:r>
              <w:rPr>
                <w:sz w:val="18"/>
              </w:rPr>
              <w:t>Or email: </w:t>
            </w:r>
            <w:hyperlink r:id="rId6">
              <w:r>
                <w:rPr>
                  <w:color w:val="0000FF"/>
                  <w:sz w:val="18"/>
                  <w:u w:val="single" w:color="0000FF"/>
                </w:rPr>
                <w:t>brokers.licensing@customs.gov.au</w:t>
              </w:r>
            </w:hyperlink>
          </w:p>
        </w:tc>
      </w:tr>
    </w:tbl>
    <w:p>
      <w:pPr>
        <w:pStyle w:val="BodyText"/>
        <w:spacing w:before="10"/>
        <w:rPr>
          <w:sz w:val="17"/>
        </w:rPr>
      </w:pPr>
    </w:p>
    <w:p>
      <w:pPr>
        <w:pStyle w:val="BodyText"/>
        <w:ind w:left="1519" w:right="159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2"/>
        <w:ind w:left="1519" w:right="1516"/>
      </w:pPr>
      <w:r>
        <w:rPr/>
        <w:t>Applicants will not be provided with a copy of the representation and details of its author unless the ACBPS is authorised by the author to fully disclose that information.</w:t>
      </w:r>
    </w:p>
    <w:p>
      <w:pPr>
        <w:pStyle w:val="BodyText"/>
        <w:rPr>
          <w:sz w:val="20"/>
        </w:rPr>
      </w:pPr>
    </w:p>
    <w:p>
      <w:pPr>
        <w:pStyle w:val="BodyText"/>
        <w:rPr>
          <w:sz w:val="20"/>
        </w:rPr>
      </w:pPr>
    </w:p>
    <w:p>
      <w:pPr>
        <w:pStyle w:val="BodyText"/>
        <w:spacing w:before="159"/>
        <w:ind w:left="1519" w:right="9030"/>
      </w:pPr>
      <w:r>
        <w:rPr/>
        <w:t>John Arndell Director</w:t>
      </w:r>
    </w:p>
    <w:p>
      <w:pPr>
        <w:pStyle w:val="BodyText"/>
        <w:spacing w:before="4"/>
        <w:ind w:left="1519" w:right="4718"/>
      </w:pPr>
      <w:r>
        <w:rPr/>
        <w:t>Cargo Reporting Policy and Firearms and Weapons Administration CANBERRA ACT</w:t>
      </w:r>
    </w:p>
    <w:p>
      <w:pPr>
        <w:pStyle w:val="BodyText"/>
        <w:spacing w:line="206" w:lineRule="exact"/>
        <w:ind w:left="1519"/>
      </w:pPr>
      <w:r>
        <w:rPr/>
        <w:t>15 July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18"/>
      <w:szCs w:val="18"/>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2020-12-09T23:06:04Z</dcterms:created>
  <dcterms:modified xsi:type="dcterms:W3CDTF">2020-12-09T23:06:04Z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2013-07-15T00:00:00Z</vt:filetime>
  </property>
  <property fmtid="{D5CDD505-2E9C-101B-9397-08002B2CF9AE}" pid="3" name="LastSaved">
    <vt:filetime>2020-12-09T00:00:00Z</vt:filetime>
  </property>
</Properties>
</file>