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rect style="position:absolute;margin-left:303.835968pt;margin-top:.000012pt;width:308.164046pt;height:.240433pt;mso-position-horizontal-relative:page;mso-position-vertical-relative:page;z-index:15730176" filled="true" fillcolor="#000000" stroked="false">
            <v:fill type="solid"/>
            <w10:wrap type="none"/>
          </v:rect>
        </w:pict>
      </w:r>
      <w:r>
        <w:rPr/>
        <w:pict>
          <v:line style="position:absolute;mso-position-horizontal-relative:page;mso-position-vertical-relative:page;z-index:15730688" from="13.461088pt,121.665024pt" to="583.634307pt,121.665024pt" stroked="true" strokeweight="6.732452pt" strokecolor="#000000">
            <v:stroke dashstyle="solid"/>
            <w10:wrap type="none"/>
          </v:line>
        </w:pict>
      </w:r>
      <w:r>
        <w:rPr>
          <w:color w:val="4D4D4B"/>
          <w:w w:val="92"/>
        </w:rPr>
        <w:t>•</w:t>
      </w:r>
    </w:p>
    <w:p>
      <w:pPr>
        <w:pStyle w:val="BodyText"/>
        <w:rPr>
          <w:rFonts w:ascii="Arial"/>
          <w:sz w:val="20"/>
        </w:rPr>
      </w:pPr>
    </w:p>
    <w:p>
      <w:pPr>
        <w:pStyle w:val="BodyText"/>
        <w:rPr>
          <w:rFonts w:ascii="Arial"/>
          <w:sz w:val="20"/>
        </w:rPr>
      </w:pPr>
    </w:p>
    <w:p>
      <w:pPr>
        <w:pStyle w:val="BodyText"/>
        <w:spacing w:before="10"/>
        <w:rPr>
          <w:rFonts w:ascii="Arial"/>
          <w:sz w:val="16"/>
        </w:rPr>
      </w:pPr>
    </w:p>
    <w:p>
      <w:pPr>
        <w:spacing w:before="89"/>
        <w:ind w:left="2593" w:right="0" w:firstLine="0"/>
        <w:jc w:val="left"/>
        <w:rPr>
          <w:b/>
          <w:sz w:val="27"/>
        </w:rPr>
      </w:pPr>
      <w:r>
        <w:rPr/>
        <w:drawing>
          <wp:anchor distT="0" distB="0" distL="0" distR="0" allowOverlap="1" layoutInCell="1" locked="0" behindDoc="0" simplePos="0" relativeHeight="15729152">
            <wp:simplePos x="0" y="0"/>
            <wp:positionH relativeFrom="page">
              <wp:posOffset>696034</wp:posOffset>
            </wp:positionH>
            <wp:positionV relativeFrom="paragraph">
              <wp:posOffset>-107107</wp:posOffset>
            </wp:positionV>
            <wp:extent cx="866989" cy="63515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6989" cy="635158"/>
                    </a:xfrm>
                    <a:prstGeom prst="rect">
                      <a:avLst/>
                    </a:prstGeom>
                  </pic:spPr>
                </pic:pic>
              </a:graphicData>
            </a:graphic>
          </wp:anchor>
        </w:drawing>
      </w:r>
      <w:r>
        <w:rPr>
          <w:b/>
          <w:color w:val="465077"/>
          <w:w w:val="95"/>
          <w:sz w:val="27"/>
          <w:u w:val="thick" w:color="465077"/>
        </w:rPr>
        <w:t>Australian</w:t>
      </w:r>
      <w:r>
        <w:rPr>
          <w:b/>
          <w:color w:val="465077"/>
          <w:spacing w:val="6"/>
          <w:w w:val="95"/>
          <w:sz w:val="27"/>
          <w:u w:val="thick" w:color="465077"/>
        </w:rPr>
        <w:t> </w:t>
      </w:r>
      <w:r>
        <w:rPr>
          <w:b/>
          <w:color w:val="465077"/>
          <w:w w:val="95"/>
          <w:sz w:val="27"/>
          <w:u w:val="thick" w:color="465077"/>
        </w:rPr>
        <w:t>Government</w:t>
      </w:r>
    </w:p>
    <w:p>
      <w:pPr>
        <w:spacing w:line="276" w:lineRule="auto" w:before="150"/>
        <w:ind w:left="2591" w:right="4738" w:firstLine="3"/>
        <w:jc w:val="left"/>
        <w:rPr>
          <w:b/>
          <w:sz w:val="23"/>
        </w:rPr>
      </w:pPr>
      <w:r>
        <w:rPr>
          <w:b/>
          <w:color w:val="465077"/>
          <w:w w:val="105"/>
          <w:sz w:val="23"/>
        </w:rPr>
        <w:t>Australian Customs and Border Protection</w:t>
      </w:r>
      <w:r>
        <w:rPr>
          <w:b/>
          <w:color w:val="465077"/>
          <w:spacing w:val="-36"/>
          <w:w w:val="105"/>
          <w:sz w:val="23"/>
        </w:rPr>
        <w:t> </w:t>
      </w:r>
      <w:r>
        <w:rPr>
          <w:b/>
          <w:color w:val="465077"/>
          <w:w w:val="105"/>
          <w:sz w:val="23"/>
        </w:rPr>
        <w:t>Service</w:t>
      </w:r>
    </w:p>
    <w:p>
      <w:pPr>
        <w:pStyle w:val="BodyText"/>
        <w:rPr>
          <w:b/>
          <w:sz w:val="26"/>
        </w:rPr>
      </w:pPr>
    </w:p>
    <w:p>
      <w:pPr>
        <w:pStyle w:val="BodyText"/>
        <w:rPr>
          <w:b/>
          <w:sz w:val="26"/>
        </w:rPr>
      </w:pPr>
    </w:p>
    <w:p>
      <w:pPr>
        <w:pStyle w:val="Heading1"/>
        <w:spacing w:before="213"/>
        <w:ind w:left="2930"/>
      </w:pPr>
      <w:r>
        <w:rPr/>
        <w:pict>
          <v:line style="position:absolute;mso-position-horizontal-relative:page;mso-position-vertical-relative:paragraph;z-index:15729664" from=".240377pt,574.112435pt" to=".240377pt,4.739345pt" stroked="true" strokeweight=".72113pt" strokecolor="#000000">
            <v:stroke dashstyle="solid"/>
            <w10:wrap type="none"/>
          </v:line>
        </w:pict>
      </w:r>
      <w:r>
        <w:rPr>
          <w:color w:val="4D4D4B"/>
          <w:w w:val="105"/>
        </w:rPr>
        <w:t>AUSTRALIAN CUSTOMS NOTICE NO. 2013/28</w:t>
      </w:r>
    </w:p>
    <w:p>
      <w:pPr>
        <w:pStyle w:val="BodyText"/>
        <w:spacing w:before="2"/>
        <w:rPr>
          <w:b/>
          <w:sz w:val="22"/>
        </w:rPr>
      </w:pPr>
    </w:p>
    <w:p>
      <w:pPr>
        <w:spacing w:line="249" w:lineRule="auto" w:before="89"/>
        <w:ind w:left="1525" w:right="161" w:firstLine="0"/>
        <w:jc w:val="center"/>
        <w:rPr>
          <w:b/>
          <w:sz w:val="27"/>
        </w:rPr>
      </w:pPr>
      <w:r>
        <w:rPr>
          <w:b/>
          <w:color w:val="4D4D4B"/>
          <w:w w:val="105"/>
          <w:sz w:val="27"/>
        </w:rPr>
        <w:t>REPEAL OF CONTROLS ON XYLITOL AND OIL OF WORMWOOD FROM SCHEDULE 8 TO THE</w:t>
      </w:r>
    </w:p>
    <w:p>
      <w:pPr>
        <w:pStyle w:val="Heading1"/>
        <w:spacing w:line="309" w:lineRule="exact" w:before="0"/>
        <w:ind w:right="139"/>
        <w:jc w:val="center"/>
      </w:pPr>
      <w:r>
        <w:rPr>
          <w:color w:val="4D4D4B"/>
          <w:w w:val="105"/>
        </w:rPr>
        <w:t>CUSTOMS (PROHIBITED IMPORTS) REGULATIONS 1956</w:t>
      </w:r>
    </w:p>
    <w:p>
      <w:pPr>
        <w:pStyle w:val="BodyText"/>
        <w:spacing w:before="10"/>
        <w:rPr>
          <w:b/>
        </w:rPr>
      </w:pPr>
    </w:p>
    <w:p>
      <w:pPr>
        <w:spacing w:line="252" w:lineRule="auto" w:before="1"/>
        <w:ind w:left="1442" w:right="0" w:firstLine="0"/>
        <w:jc w:val="left"/>
        <w:rPr>
          <w:i/>
          <w:sz w:val="23"/>
        </w:rPr>
      </w:pPr>
      <w:r>
        <w:rPr>
          <w:color w:val="4D4D4B"/>
          <w:w w:val="105"/>
          <w:sz w:val="23"/>
        </w:rPr>
        <w:t>Regulation SH of </w:t>
      </w:r>
      <w:r>
        <w:rPr>
          <w:i/>
          <w:color w:val="4D4D4B"/>
          <w:w w:val="105"/>
          <w:sz w:val="23"/>
        </w:rPr>
        <w:t>th</w:t>
      </w:r>
      <w:r>
        <w:rPr>
          <w:i/>
          <w:color w:val="666764"/>
          <w:w w:val="105"/>
          <w:sz w:val="23"/>
        </w:rPr>
        <w:t>e </w:t>
      </w:r>
      <w:r>
        <w:rPr>
          <w:i/>
          <w:color w:val="4D4D4B"/>
          <w:w w:val="105"/>
          <w:sz w:val="23"/>
        </w:rPr>
        <w:t>Customs (Prohibited Imports) Regulations 1956 </w:t>
      </w:r>
      <w:r>
        <w:rPr>
          <w:color w:val="4D4D4B"/>
          <w:w w:val="105"/>
          <w:sz w:val="23"/>
        </w:rPr>
        <w:t>(PI Regulations) has been amended to remove item 12A of Schedule 8 (</w:t>
      </w:r>
      <w:r>
        <w:rPr>
          <w:i/>
          <w:color w:val="4D4D4B"/>
          <w:w w:val="105"/>
          <w:sz w:val="23"/>
        </w:rPr>
        <w:t>oil of wormwood and preparation</w:t>
      </w:r>
      <w:r>
        <w:rPr>
          <w:i/>
          <w:color w:val="666764"/>
          <w:w w:val="105"/>
          <w:sz w:val="23"/>
        </w:rPr>
        <w:t>s c</w:t>
      </w:r>
      <w:r>
        <w:rPr>
          <w:i/>
          <w:color w:val="4D4D4B"/>
          <w:w w:val="105"/>
          <w:sz w:val="23"/>
        </w:rPr>
        <w:t>ontainingoil of wormwood), </w:t>
      </w:r>
      <w:r>
        <w:rPr>
          <w:color w:val="4D4D4B"/>
          <w:w w:val="105"/>
          <w:sz w:val="23"/>
        </w:rPr>
        <w:t>and item 17 of Schedule 8 </w:t>
      </w:r>
      <w:r>
        <w:rPr>
          <w:i/>
          <w:color w:val="4D4D4B"/>
          <w:w w:val="105"/>
          <w:sz w:val="23"/>
        </w:rPr>
        <w:t>(xylitol and preparations </w:t>
      </w:r>
      <w:r>
        <w:rPr>
          <w:i/>
          <w:color w:val="666764"/>
          <w:w w:val="105"/>
          <w:sz w:val="23"/>
        </w:rPr>
        <w:t>c</w:t>
      </w:r>
      <w:r>
        <w:rPr>
          <w:i/>
          <w:color w:val="4D4D4B"/>
          <w:w w:val="105"/>
          <w:sz w:val="23"/>
        </w:rPr>
        <w:t>ontaining xylitol)</w:t>
      </w:r>
      <w:r>
        <w:rPr>
          <w:i/>
          <w:color w:val="666764"/>
          <w:w w:val="105"/>
          <w:sz w:val="23"/>
        </w:rPr>
        <w:t>.</w:t>
      </w:r>
    </w:p>
    <w:p>
      <w:pPr>
        <w:pStyle w:val="BodyText"/>
        <w:spacing w:before="2"/>
        <w:rPr>
          <w:i/>
          <w:sz w:val="24"/>
        </w:rPr>
      </w:pPr>
    </w:p>
    <w:p>
      <w:pPr>
        <w:pStyle w:val="BodyText"/>
        <w:spacing w:line="247" w:lineRule="auto" w:before="1"/>
        <w:ind w:left="1450" w:firstLine="4"/>
      </w:pPr>
      <w:r>
        <w:rPr>
          <w:color w:val="4D4D4B"/>
          <w:w w:val="105"/>
        </w:rPr>
        <w:t>Xylitol is typically used in small quantities as an artificial sweetener in products such as confectionery and chewing gum. Oil of wormwood is an essential oil containing thujone and santonin and is found in products such as absinth. These substances do not have a potential safety risk unless consumed at high doses.</w:t>
      </w:r>
    </w:p>
    <w:p>
      <w:pPr>
        <w:pStyle w:val="BodyText"/>
        <w:spacing w:before="11"/>
      </w:pPr>
    </w:p>
    <w:p>
      <w:pPr>
        <w:spacing w:line="252" w:lineRule="auto" w:before="0"/>
        <w:ind w:left="1450" w:right="89" w:firstLine="5"/>
        <w:jc w:val="left"/>
        <w:rPr>
          <w:sz w:val="23"/>
        </w:rPr>
      </w:pPr>
      <w:r>
        <w:rPr>
          <w:color w:val="4D4D4B"/>
          <w:w w:val="105"/>
          <w:sz w:val="23"/>
        </w:rPr>
        <w:t>Importers must comply with requirements under the </w:t>
      </w:r>
      <w:r>
        <w:rPr>
          <w:i/>
          <w:color w:val="4D4D4B"/>
          <w:w w:val="105"/>
          <w:sz w:val="23"/>
        </w:rPr>
        <w:t>Australian and New Zealand Food Standards Code </w:t>
      </w:r>
      <w:r>
        <w:rPr>
          <w:color w:val="4D4D4B"/>
          <w:w w:val="105"/>
          <w:sz w:val="23"/>
        </w:rPr>
        <w:t>and the </w:t>
      </w:r>
      <w:r>
        <w:rPr>
          <w:i/>
          <w:color w:val="4D4D4B"/>
          <w:w w:val="105"/>
          <w:sz w:val="23"/>
        </w:rPr>
        <w:t>Therapeutic Good</w:t>
      </w:r>
      <w:r>
        <w:rPr>
          <w:i/>
          <w:color w:val="666764"/>
          <w:w w:val="105"/>
          <w:sz w:val="23"/>
        </w:rPr>
        <w:t>s </w:t>
      </w:r>
      <w:r>
        <w:rPr>
          <w:i/>
          <w:color w:val="4D4D4B"/>
          <w:w w:val="105"/>
          <w:sz w:val="23"/>
        </w:rPr>
        <w:t>Act 1989 </w:t>
      </w:r>
      <w:r>
        <w:rPr>
          <w:color w:val="4D4D4B"/>
          <w:w w:val="105"/>
          <w:sz w:val="23"/>
        </w:rPr>
        <w:t>to import products containing these substances. Imported food is monitored under the </w:t>
      </w:r>
      <w:r>
        <w:rPr>
          <w:i/>
          <w:color w:val="4D4D4B"/>
          <w:w w:val="105"/>
          <w:sz w:val="23"/>
        </w:rPr>
        <w:t>Imported Food Inspection Scheme </w:t>
      </w:r>
      <w:r>
        <w:rPr>
          <w:color w:val="4D4D4B"/>
          <w:w w:val="105"/>
          <w:sz w:val="23"/>
        </w:rPr>
        <w:t>to ensure food imports meet the </w:t>
      </w:r>
      <w:r>
        <w:rPr>
          <w:i/>
          <w:color w:val="4D4D4B"/>
          <w:w w:val="105"/>
          <w:sz w:val="23"/>
        </w:rPr>
        <w:t>Australia New Zealand Food Standards Code</w:t>
      </w:r>
      <w:r>
        <w:rPr>
          <w:i/>
          <w:color w:val="666764"/>
          <w:w w:val="105"/>
          <w:sz w:val="23"/>
        </w:rPr>
        <w:t>. </w:t>
      </w:r>
      <w:r>
        <w:rPr>
          <w:color w:val="4D4D4B"/>
          <w:w w:val="105"/>
          <w:sz w:val="23"/>
        </w:rPr>
        <w:t>Therapeutic goods are assessed by the </w:t>
      </w:r>
      <w:r>
        <w:rPr>
          <w:i/>
          <w:color w:val="4D4D4B"/>
          <w:w w:val="105"/>
          <w:sz w:val="23"/>
        </w:rPr>
        <w:t>Therapeutic Goods Administration </w:t>
      </w:r>
      <w:r>
        <w:rPr>
          <w:color w:val="4D4D4B"/>
          <w:w w:val="105"/>
          <w:sz w:val="23"/>
        </w:rPr>
        <w:t>and must be registered on the </w:t>
      </w:r>
      <w:r>
        <w:rPr>
          <w:i/>
          <w:color w:val="4D4D4B"/>
          <w:w w:val="105"/>
          <w:sz w:val="23"/>
        </w:rPr>
        <w:t>Australian Register of Therapeutic Good</w:t>
      </w:r>
      <w:r>
        <w:rPr>
          <w:i/>
          <w:color w:val="666764"/>
          <w:w w:val="105"/>
          <w:sz w:val="23"/>
        </w:rPr>
        <w:t>s </w:t>
      </w:r>
      <w:r>
        <w:rPr>
          <w:color w:val="4D4D4B"/>
          <w:w w:val="105"/>
          <w:sz w:val="23"/>
        </w:rPr>
        <w:t>before they can be supplied in Australia </w:t>
      </w:r>
      <w:r>
        <w:rPr>
          <w:color w:val="666764"/>
          <w:w w:val="105"/>
          <w:sz w:val="23"/>
        </w:rPr>
        <w:t>.</w:t>
      </w:r>
    </w:p>
    <w:p>
      <w:pPr>
        <w:pStyle w:val="BodyText"/>
        <w:spacing w:before="9"/>
        <w:rPr>
          <w:sz w:val="22"/>
        </w:rPr>
      </w:pPr>
    </w:p>
    <w:p>
      <w:pPr>
        <w:pStyle w:val="BodyText"/>
        <w:spacing w:line="252" w:lineRule="auto"/>
        <w:ind w:left="1453" w:firstLine="1"/>
      </w:pPr>
      <w:r>
        <w:rPr>
          <w:color w:val="4D4D4B"/>
          <w:w w:val="105"/>
        </w:rPr>
        <w:t>The amendment aligns the legislation with current policy and enforcement activities and removes the administrative burden on importers to satisfy requirements imposed by multiple agencies without compromising the safety of the Australian public.</w:t>
      </w:r>
    </w:p>
    <w:p>
      <w:pPr>
        <w:pStyle w:val="BodyText"/>
        <w:spacing w:before="2"/>
        <w:rPr>
          <w:sz w:val="24"/>
        </w:rPr>
      </w:pPr>
    </w:p>
    <w:p>
      <w:pPr>
        <w:spacing w:line="249" w:lineRule="auto" w:before="0"/>
        <w:ind w:left="1448" w:right="89" w:firstLine="1"/>
        <w:jc w:val="left"/>
        <w:rPr>
          <w:sz w:val="23"/>
        </w:rPr>
      </w:pPr>
      <w:r>
        <w:rPr>
          <w:color w:val="4D4D4B"/>
          <w:w w:val="105"/>
          <w:sz w:val="23"/>
        </w:rPr>
        <w:t>A minor consequential amendment was also made to the </w:t>
      </w:r>
      <w:r>
        <w:rPr>
          <w:i/>
          <w:color w:val="4D4D4B"/>
          <w:w w:val="105"/>
          <w:sz w:val="23"/>
        </w:rPr>
        <w:t>Customs Regulation</w:t>
      </w:r>
      <w:r>
        <w:rPr>
          <w:i/>
          <w:color w:val="666764"/>
          <w:w w:val="105"/>
          <w:sz w:val="23"/>
        </w:rPr>
        <w:t>s </w:t>
      </w:r>
      <w:r>
        <w:rPr>
          <w:i/>
          <w:color w:val="4D4D4B"/>
          <w:w w:val="105"/>
          <w:sz w:val="23"/>
        </w:rPr>
        <w:t>1926 </w:t>
      </w:r>
      <w:r>
        <w:rPr>
          <w:color w:val="4D4D4B"/>
          <w:w w:val="105"/>
          <w:sz w:val="23"/>
        </w:rPr>
        <w:t>to remove </w:t>
      </w:r>
      <w:r>
        <w:rPr>
          <w:i/>
          <w:color w:val="4D4D4B"/>
          <w:w w:val="105"/>
          <w:sz w:val="23"/>
        </w:rPr>
        <w:t>oil of wormwood and preparations containing oil of wormwood, </w:t>
      </w:r>
      <w:r>
        <w:rPr>
          <w:color w:val="4D4D4B"/>
          <w:w w:val="105"/>
          <w:sz w:val="23"/>
        </w:rPr>
        <w:t>and </w:t>
      </w:r>
      <w:r>
        <w:rPr>
          <w:i/>
          <w:color w:val="4D4D4B"/>
          <w:w w:val="105"/>
          <w:sz w:val="23"/>
        </w:rPr>
        <w:t>xylitol and preparations containing xylitol </w:t>
      </w:r>
      <w:r>
        <w:rPr>
          <w:color w:val="4D4D4B"/>
          <w:w w:val="105"/>
          <w:sz w:val="23"/>
        </w:rPr>
        <w:t>from the post import permission regime</w:t>
      </w:r>
      <w:r>
        <w:rPr>
          <w:color w:val="666764"/>
          <w:w w:val="105"/>
          <w:sz w:val="23"/>
        </w:rPr>
        <w:t>.</w:t>
      </w:r>
    </w:p>
    <w:p>
      <w:pPr>
        <w:pStyle w:val="BodyText"/>
        <w:spacing w:before="7"/>
      </w:pPr>
    </w:p>
    <w:p>
      <w:pPr>
        <w:pStyle w:val="BodyText"/>
        <w:ind w:left="1447" w:hanging="3"/>
      </w:pPr>
      <w:r>
        <w:rPr>
          <w:color w:val="4D4D4B"/>
          <w:w w:val="105"/>
        </w:rPr>
        <w:t>The amending Regulations came into effect on 13 July 2013</w:t>
      </w:r>
      <w:r>
        <w:rPr>
          <w:color w:val="666764"/>
          <w:w w:val="105"/>
        </w:rPr>
        <w:t>.</w:t>
      </w:r>
    </w:p>
    <w:p>
      <w:pPr>
        <w:pStyle w:val="BodyText"/>
        <w:spacing w:before="1"/>
        <w:rPr>
          <w:sz w:val="25"/>
        </w:rPr>
      </w:pPr>
    </w:p>
    <w:p>
      <w:pPr>
        <w:pStyle w:val="BodyText"/>
        <w:spacing w:line="256" w:lineRule="auto"/>
        <w:ind w:left="1443" w:firstLine="3"/>
      </w:pPr>
      <w:r>
        <w:rPr/>
        <w:drawing>
          <wp:anchor distT="0" distB="0" distL="0" distR="0" allowOverlap="1" layoutInCell="1" locked="0" behindDoc="0" simplePos="0" relativeHeight="0">
            <wp:simplePos x="0" y="0"/>
            <wp:positionH relativeFrom="page">
              <wp:posOffset>1099001</wp:posOffset>
            </wp:positionH>
            <wp:positionV relativeFrom="paragraph">
              <wp:posOffset>389803</wp:posOffset>
            </wp:positionV>
            <wp:extent cx="1974543" cy="45110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74543" cy="451104"/>
                    </a:xfrm>
                    <a:prstGeom prst="rect">
                      <a:avLst/>
                    </a:prstGeom>
                  </pic:spPr>
                </pic:pic>
              </a:graphicData>
            </a:graphic>
          </wp:anchor>
        </w:drawing>
      </w:r>
      <w:r>
        <w:rPr>
          <w:color w:val="4D4D4B"/>
          <w:w w:val="105"/>
        </w:rPr>
        <w:t>Enquiries regarding this notice should be directed via email to </w:t>
      </w:r>
      <w:hyperlink r:id="rId7">
        <w:r>
          <w:rPr>
            <w:color w:val="485BA8"/>
            <w:w w:val="105"/>
          </w:rPr>
          <w:t>community.protection@customs.gov.au </w:t>
        </w:r>
      </w:hyperlink>
      <w:r>
        <w:rPr>
          <w:color w:val="4D4D4B"/>
          <w:w w:val="105"/>
        </w:rPr>
        <w:t>or telephone (02) 6275 6114.</w:t>
      </w:r>
    </w:p>
    <w:p>
      <w:pPr>
        <w:pStyle w:val="BodyText"/>
        <w:spacing w:line="249" w:lineRule="auto" w:before="36"/>
        <w:ind w:left="1435" w:right="6806" w:hanging="2"/>
      </w:pPr>
      <w:r>
        <w:rPr>
          <w:color w:val="4D4D4B"/>
          <w:w w:val="105"/>
        </w:rPr>
        <w:t>Geoff Johannes National Manager</w:t>
      </w:r>
    </w:p>
    <w:p>
      <w:pPr>
        <w:pStyle w:val="BodyText"/>
        <w:spacing w:line="252" w:lineRule="auto" w:before="3"/>
        <w:ind w:left="1433" w:right="5811" w:hanging="4"/>
      </w:pPr>
      <w:r>
        <w:rPr>
          <w:color w:val="4D4D4B"/>
          <w:w w:val="105"/>
        </w:rPr>
        <w:t>Trade, Policy and Implementation CANBERRA ACT</w:t>
      </w:r>
    </w:p>
    <w:p>
      <w:pPr>
        <w:pStyle w:val="BodyText"/>
        <w:rPr>
          <w:sz w:val="24"/>
        </w:rPr>
      </w:pPr>
    </w:p>
    <w:p>
      <w:pPr>
        <w:pStyle w:val="BodyText"/>
        <w:spacing w:before="1"/>
        <w:ind w:left="1173"/>
      </w:pPr>
      <w:r>
        <w:rPr>
          <w:color w:val="6060C3"/>
        </w:rPr>
        <w:t>-&lt;L- </w:t>
      </w:r>
      <w:r>
        <w:rPr>
          <w:color w:val="4D4D4B"/>
        </w:rPr>
        <w:t>July 2013</w:t>
      </w:r>
    </w:p>
    <w:sectPr>
      <w:type w:val="continuous"/>
      <w:pgSz w:w="12240" w:h="16860"/>
      <w:pgMar w:top="0" w:bottom="280" w:left="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89"/>
      <w:ind w:left="1525"/>
      <w:outlineLvl w:val="1"/>
    </w:pPr>
    <w:rPr>
      <w:rFonts w:ascii="Times New Roman" w:hAnsi="Times New Roman" w:eastAsia="Times New Roman" w:cs="Times New Roman"/>
      <w:b/>
      <w:bCs/>
      <w:sz w:val="27"/>
      <w:szCs w:val="27"/>
    </w:rPr>
  </w:style>
  <w:style w:styleId="Title" w:type="paragraph">
    <w:name w:val="Title"/>
    <w:basedOn w:val="Normal"/>
    <w:uiPriority w:val="1"/>
    <w:qFormat/>
    <w:pPr>
      <w:spacing w:line="284" w:lineRule="exact"/>
      <w:ind w:left="-22"/>
    </w:pPr>
    <w:rPr>
      <w:rFonts w:ascii="Arial" w:hAnsi="Arial" w:eastAsia="Arial" w:cs="Arial"/>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community.protec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2020-12-09T22:30:29Z</dcterms:created>
  <dcterms:modified xsi:type="dcterms:W3CDTF">2020-12-09T22:30:29Z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2013-07-25T00:00:00Z</vt:filetime>
  </property>
  <property fmtid="{D5CDD505-2E9C-101B-9397-08002B2CF9AE}" pid="3" name="LastSaved">
    <vt:filetime>2020-12-09T00:00:00Z</vt:filetime>
  </property>
</Properties>
</file>