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12"/>
        </w:rPr>
      </w:pPr>
      <w:r>
        <w:rPr/>
        <w:pict>
          <v:line style="position:absolute;mso-position-horizontal-relative:page;mso-position-vertical-relative:page;z-index:-15790080" from="9.615715pt,142.242676pt" to="578.866045pt,142.242676pt" stroked="true" strokeweight="6.967969pt" strokecolor="#000000">
            <v:stroke dashstyle="solid"/>
            <w10:wrap type="none"/>
          </v:line>
        </w:pict>
      </w:r>
    </w:p>
    <w:p>
      <w:pPr>
        <w:pStyle w:val="Title"/>
        <w:rPr>
          <w:u w:val="none"/>
        </w:rPr>
      </w:pPr>
      <w:r>
        <w:rPr/>
        <w:drawing>
          <wp:anchor distT="0" distB="0" distL="0" distR="0" allowOverlap="1" layoutInCell="1" locked="0" behindDoc="0" simplePos="0" relativeHeight="15728640">
            <wp:simplePos x="0" y="0"/>
            <wp:positionH relativeFrom="page">
              <wp:posOffset>671657</wp:posOffset>
            </wp:positionH>
            <wp:positionV relativeFrom="paragraph">
              <wp:posOffset>-91794</wp:posOffset>
            </wp:positionV>
            <wp:extent cx="867049" cy="63470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67049" cy="634709"/>
                    </a:xfrm>
                    <a:prstGeom prst="rect">
                      <a:avLst/>
                    </a:prstGeom>
                  </pic:spPr>
                </pic:pic>
              </a:graphicData>
            </a:graphic>
          </wp:anchor>
        </w:drawing>
      </w:r>
      <w:r>
        <w:rPr>
          <w:color w:val="2A345B"/>
          <w:w w:val="90"/>
          <w:u w:val="thick" w:color="2A345B"/>
        </w:rPr>
        <w:t>Australian</w:t>
      </w:r>
      <w:r>
        <w:rPr>
          <w:color w:val="2A345B"/>
          <w:spacing w:val="16"/>
          <w:w w:val="90"/>
          <w:u w:val="thick" w:color="2A345B"/>
        </w:rPr>
        <w:t> </w:t>
      </w:r>
      <w:r>
        <w:rPr>
          <w:color w:val="2A345B"/>
          <w:w w:val="90"/>
          <w:u w:val="thick" w:color="2A345B"/>
        </w:rPr>
        <w:t>Government</w:t>
      </w:r>
    </w:p>
    <w:p>
      <w:pPr>
        <w:spacing w:line="242" w:lineRule="auto" w:before="124"/>
        <w:ind w:left="1597" w:right="4708" w:firstLine="3"/>
        <w:jc w:val="left"/>
        <w:rPr>
          <w:rFonts w:ascii="Times New Roman"/>
          <w:b/>
          <w:sz w:val="26"/>
        </w:rPr>
      </w:pPr>
      <w:r>
        <w:rPr>
          <w:rFonts w:ascii="Times New Roman"/>
          <w:b/>
          <w:color w:val="2A345B"/>
          <w:w w:val="95"/>
          <w:sz w:val="26"/>
        </w:rPr>
        <w:t>Australian Customs and </w:t>
      </w:r>
      <w:r>
        <w:rPr>
          <w:rFonts w:ascii="Times New Roman"/>
          <w:b/>
          <w:color w:val="2A345B"/>
          <w:w w:val="90"/>
          <w:sz w:val="26"/>
        </w:rPr>
        <w:t>Border Protection</w:t>
      </w:r>
      <w:r>
        <w:rPr>
          <w:rFonts w:ascii="Times New Roman"/>
          <w:b/>
          <w:color w:val="2A345B"/>
          <w:spacing w:val="14"/>
          <w:w w:val="90"/>
          <w:sz w:val="26"/>
        </w:rPr>
        <w:t> </w:t>
      </w:r>
      <w:r>
        <w:rPr>
          <w:rFonts w:ascii="Times New Roman"/>
          <w:b/>
          <w:color w:val="2A345B"/>
          <w:w w:val="90"/>
          <w:sz w:val="26"/>
        </w:rPr>
        <w:t>Service</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0"/>
        <w:rPr>
          <w:rFonts w:ascii="Times New Roman"/>
          <w:b/>
        </w:rPr>
      </w:pPr>
    </w:p>
    <w:p>
      <w:pPr>
        <w:spacing w:before="92"/>
        <w:ind w:left="776" w:right="0" w:firstLine="0"/>
        <w:jc w:val="left"/>
        <w:rPr>
          <w:b/>
          <w:sz w:val="26"/>
        </w:rPr>
      </w:pPr>
      <w:r>
        <w:rPr>
          <w:b/>
          <w:color w:val="313131"/>
          <w:w w:val="105"/>
          <w:sz w:val="26"/>
        </w:rPr>
        <w:t>AUSTRALIAN CUSTOMS AND BORDER PROTECTION NOTICE</w:t>
      </w:r>
    </w:p>
    <w:p>
      <w:pPr>
        <w:tabs>
          <w:tab w:pos="4146" w:val="left" w:leader="none"/>
          <w:tab w:pos="9463" w:val="left" w:leader="none"/>
        </w:tabs>
        <w:spacing w:before="27"/>
        <w:ind w:left="656" w:right="0" w:firstLine="0"/>
        <w:jc w:val="left"/>
        <w:rPr>
          <w:b/>
          <w:sz w:val="26"/>
        </w:rPr>
      </w:pPr>
      <w:r>
        <w:rPr>
          <w:b/>
          <w:color w:val="313131"/>
          <w:w w:val="100"/>
          <w:sz w:val="26"/>
          <w:u w:val="single" w:color="000000"/>
        </w:rPr>
        <w:t> </w:t>
      </w:r>
      <w:r>
        <w:rPr>
          <w:b/>
          <w:color w:val="313131"/>
          <w:sz w:val="26"/>
          <w:u w:val="single" w:color="000000"/>
        </w:rPr>
        <w:tab/>
      </w:r>
      <w:r>
        <w:rPr>
          <w:b/>
          <w:color w:val="313131"/>
          <w:w w:val="110"/>
          <w:sz w:val="26"/>
          <w:u w:val="single" w:color="000000"/>
        </w:rPr>
        <w:t>NO.</w:t>
      </w:r>
      <w:r>
        <w:rPr>
          <w:b/>
          <w:color w:val="313131"/>
          <w:spacing w:val="-40"/>
          <w:w w:val="110"/>
          <w:sz w:val="26"/>
          <w:u w:val="single" w:color="000000"/>
        </w:rPr>
        <w:t> </w:t>
      </w:r>
      <w:r>
        <w:rPr>
          <w:b/>
          <w:color w:val="313131"/>
          <w:w w:val="110"/>
          <w:sz w:val="26"/>
          <w:u w:val="single" w:color="000000"/>
        </w:rPr>
        <w:t>2013/46</w:t>
      </w:r>
      <w:r>
        <w:rPr>
          <w:b/>
          <w:color w:val="313131"/>
          <w:sz w:val="26"/>
          <w:u w:val="single" w:color="000000"/>
        </w:rPr>
        <w:tab/>
      </w:r>
    </w:p>
    <w:p>
      <w:pPr>
        <w:pStyle w:val="BodyText"/>
        <w:spacing w:before="7"/>
        <w:rPr>
          <w:b/>
          <w:sz w:val="29"/>
        </w:rPr>
      </w:pPr>
    </w:p>
    <w:p>
      <w:pPr>
        <w:spacing w:line="259" w:lineRule="auto" w:before="0"/>
        <w:ind w:left="1013" w:right="384" w:hanging="314"/>
        <w:jc w:val="left"/>
        <w:rPr>
          <w:b/>
          <w:sz w:val="26"/>
        </w:rPr>
      </w:pPr>
      <w:r>
        <w:rPr>
          <w:b/>
          <w:color w:val="313131"/>
          <w:w w:val="105"/>
          <w:sz w:val="26"/>
        </w:rPr>
        <w:t>Supply of commercial documents and evidence of monies price paid to verify particulars on import and export declarations</w:t>
      </w:r>
    </w:p>
    <w:p>
      <w:pPr>
        <w:pStyle w:val="BodyText"/>
        <w:rPr>
          <w:b/>
          <w:sz w:val="28"/>
        </w:rPr>
      </w:pPr>
    </w:p>
    <w:p>
      <w:pPr>
        <w:pStyle w:val="BodyText"/>
        <w:spacing w:line="254" w:lineRule="auto" w:before="170"/>
        <w:ind w:left="687" w:right="384" w:hanging="2"/>
      </w:pPr>
      <w:r>
        <w:rPr>
          <w:color w:val="313131"/>
          <w:w w:val="105"/>
        </w:rPr>
        <w:t>This Notice provides guidance to cargo reporters, suppliers, importers and exporters and their licensed customs brokers or other agents about acceptable standards of commercial documentation and evidence of monies price paid (EMPP)</w:t>
      </w:r>
      <w:r>
        <w:rPr>
          <w:color w:val="4B494B"/>
          <w:w w:val="105"/>
        </w:rPr>
        <w:t>. </w:t>
      </w:r>
      <w:r>
        <w:rPr>
          <w:color w:val="313131"/>
          <w:w w:val="105"/>
        </w:rPr>
        <w:t>These documents are required to support statements made in declarations to the Australian Customs and Border Protection Service (ACBPS).</w:t>
      </w:r>
    </w:p>
    <w:p>
      <w:pPr>
        <w:pStyle w:val="BodyText"/>
        <w:rPr>
          <w:sz w:val="20"/>
        </w:rPr>
      </w:pPr>
    </w:p>
    <w:p>
      <w:pPr>
        <w:pStyle w:val="BodyText"/>
        <w:spacing w:line="252" w:lineRule="auto"/>
        <w:ind w:left="688" w:right="377" w:firstLine="1"/>
      </w:pPr>
      <w:r>
        <w:rPr>
          <w:color w:val="313131"/>
          <w:w w:val="105"/>
        </w:rPr>
        <w:t>ACBPS reminds those making their own declarations or making them on behalf of others of their statutory obligation to ensure that the information provided in the statements to ACBPS is not false or misleading.  Indeed, the Customs Act deems a declaration made by a customs broker  or other agent on behalf of an owner of goods as made with the knowledge and consent of</w:t>
      </w:r>
      <w:r>
        <w:rPr>
          <w:color w:val="313131"/>
          <w:spacing w:val="-13"/>
          <w:w w:val="105"/>
        </w:rPr>
        <w:t> </w:t>
      </w:r>
      <w:r>
        <w:rPr>
          <w:color w:val="313131"/>
          <w:w w:val="105"/>
        </w:rPr>
        <w:t>the</w:t>
      </w:r>
    </w:p>
    <w:p>
      <w:pPr>
        <w:pStyle w:val="BodyText"/>
        <w:spacing w:line="230" w:lineRule="exact"/>
        <w:ind w:left="688"/>
      </w:pPr>
      <w:r>
        <w:rPr>
          <w:color w:val="313131"/>
          <w:w w:val="105"/>
        </w:rPr>
        <w:t>owner. While the Customs Act can operate </w:t>
      </w:r>
      <w:r>
        <w:rPr>
          <w:rFonts w:ascii="Times New Roman"/>
          <w:i/>
          <w:color w:val="313131"/>
          <w:w w:val="105"/>
          <w:sz w:val="24"/>
        </w:rPr>
        <w:t>to </w:t>
      </w:r>
      <w:r>
        <w:rPr>
          <w:color w:val="313131"/>
          <w:w w:val="105"/>
        </w:rPr>
        <w:t>deem a customs broker or other agent as the</w:t>
      </w:r>
    </w:p>
    <w:p>
      <w:pPr>
        <w:pStyle w:val="BodyText"/>
        <w:spacing w:before="1"/>
        <w:ind w:left="688"/>
      </w:pPr>
      <w:r>
        <w:rPr>
          <w:color w:val="313131"/>
          <w:w w:val="105"/>
        </w:rPr>
        <w:t>owner of the goods, this does not relieve the owner of the goods from liability.</w:t>
      </w:r>
    </w:p>
    <w:p>
      <w:pPr>
        <w:pStyle w:val="BodyText"/>
        <w:spacing w:before="1"/>
        <w:rPr>
          <w:sz w:val="21"/>
        </w:rPr>
      </w:pPr>
    </w:p>
    <w:p>
      <w:pPr>
        <w:pStyle w:val="BodyText"/>
        <w:spacing w:line="252" w:lineRule="auto"/>
        <w:ind w:left="688" w:right="384" w:firstLine="4"/>
      </w:pPr>
      <w:r>
        <w:rPr>
          <w:color w:val="313131"/>
          <w:w w:val="105"/>
        </w:rPr>
        <w:t>Where ACBPS requests production of documents,  ACBPS requires full commercial invoices and supporting commercial </w:t>
      </w:r>
      <w:r>
        <w:rPr>
          <w:color w:val="313131"/>
          <w:spacing w:val="-5"/>
          <w:w w:val="105"/>
        </w:rPr>
        <w:t>documentation</w:t>
      </w:r>
      <w:r>
        <w:rPr>
          <w:color w:val="4B494B"/>
          <w:spacing w:val="-5"/>
          <w:w w:val="105"/>
        </w:rPr>
        <w:t>. </w:t>
      </w:r>
      <w:r>
        <w:rPr>
          <w:color w:val="313131"/>
          <w:w w:val="105"/>
        </w:rPr>
        <w:t>ACBPS has found that details included in pro-forma </w:t>
      </w:r>
      <w:r>
        <w:rPr>
          <w:color w:val="313131"/>
          <w:spacing w:val="-6"/>
          <w:w w:val="105"/>
        </w:rPr>
        <w:t>documents</w:t>
      </w:r>
      <w:r>
        <w:rPr>
          <w:color w:val="4B494B"/>
          <w:spacing w:val="-6"/>
          <w:w w:val="105"/>
        </w:rPr>
        <w:t>, </w:t>
      </w:r>
      <w:r>
        <w:rPr>
          <w:color w:val="313131"/>
          <w:w w:val="105"/>
        </w:rPr>
        <w:t>including the value of the goods, has been highly inaccurate in a significant number of </w:t>
      </w:r>
      <w:r>
        <w:rPr>
          <w:color w:val="313131"/>
          <w:spacing w:val="-4"/>
          <w:w w:val="105"/>
        </w:rPr>
        <w:t>cases</w:t>
      </w:r>
      <w:r>
        <w:rPr>
          <w:color w:val="4B494B"/>
          <w:spacing w:val="-4"/>
          <w:w w:val="105"/>
        </w:rPr>
        <w:t>. </w:t>
      </w:r>
      <w:r>
        <w:rPr>
          <w:color w:val="313131"/>
          <w:w w:val="105"/>
        </w:rPr>
        <w:t>ACBPS warns people not to rely routinely on the use of such pro-form a documents without further verification work to ensure they reflect the true sales</w:t>
      </w:r>
      <w:r>
        <w:rPr>
          <w:color w:val="313131"/>
          <w:spacing w:val="5"/>
          <w:w w:val="105"/>
        </w:rPr>
        <w:t> </w:t>
      </w:r>
      <w:r>
        <w:rPr>
          <w:color w:val="313131"/>
          <w:w w:val="105"/>
        </w:rPr>
        <w:t>transaction.</w:t>
      </w:r>
    </w:p>
    <w:p>
      <w:pPr>
        <w:pStyle w:val="BodyText"/>
        <w:spacing w:before="2"/>
        <w:rPr>
          <w:sz w:val="20"/>
        </w:rPr>
      </w:pPr>
    </w:p>
    <w:p>
      <w:pPr>
        <w:pStyle w:val="BodyText"/>
        <w:spacing w:line="254" w:lineRule="auto" w:before="1"/>
        <w:ind w:left="687" w:right="384" w:firstLine="6"/>
      </w:pPr>
      <w:r>
        <w:rPr>
          <w:color w:val="313131"/>
          <w:w w:val="105"/>
        </w:rPr>
        <w:t>Failure to provide adequate supporting evidence on request could result in delays to the importation of the cargo, as ACBPS may refuse to grant an Authority to Deal (ATD) with goods until it has been able to verify the particulars of the goods.</w:t>
      </w:r>
    </w:p>
    <w:p>
      <w:pPr>
        <w:pStyle w:val="BodyText"/>
        <w:spacing w:before="9"/>
      </w:pPr>
    </w:p>
    <w:p>
      <w:pPr>
        <w:pStyle w:val="BodyText"/>
        <w:spacing w:line="249" w:lineRule="auto"/>
        <w:ind w:left="691" w:right="384" w:hanging="2"/>
      </w:pPr>
      <w:r>
        <w:rPr>
          <w:color w:val="313131"/>
          <w:w w:val="105"/>
        </w:rPr>
        <w:t>Cargo clearance delays have occurred where the person subject to the request for further information has supplied pro-forma documents because those documents are not reliable or do not provide sufficient information.</w:t>
      </w:r>
    </w:p>
    <w:p>
      <w:pPr>
        <w:pStyle w:val="BodyText"/>
        <w:spacing w:before="6"/>
        <w:rPr>
          <w:sz w:val="20"/>
        </w:rPr>
      </w:pPr>
    </w:p>
    <w:p>
      <w:pPr>
        <w:pStyle w:val="BodyText"/>
        <w:spacing w:line="254" w:lineRule="auto"/>
        <w:ind w:left="691" w:right="460" w:firstLine="3"/>
      </w:pPr>
      <w:r>
        <w:rPr>
          <w:color w:val="313131"/>
          <w:w w:val="105"/>
        </w:rPr>
        <w:t>Attachment A to this Notice provides a list of information/documentation, which should be available for presentation to ACBPS on request. ACBPS may also request illustrative descriptive material if a further understanding of the goods is required. ACBPS may also request travel itineraries/documents to support claims of cash payments overseas.</w:t>
      </w:r>
    </w:p>
    <w:p>
      <w:pPr>
        <w:pStyle w:val="BodyText"/>
        <w:spacing w:before="2"/>
        <w:rPr>
          <w:sz w:val="20"/>
        </w:rPr>
      </w:pPr>
    </w:p>
    <w:p>
      <w:pPr>
        <w:pStyle w:val="BodyText"/>
        <w:spacing w:line="247" w:lineRule="auto"/>
        <w:ind w:left="693" w:hanging="3"/>
      </w:pPr>
      <w:r>
        <w:rPr>
          <w:color w:val="313131"/>
          <w:w w:val="105"/>
        </w:rPr>
        <w:t>To avoid cargo processing delays and potential sanctions, ACBPS encourages those making declarations to ACBPS to do more to ensure the veracity of those declarations.</w:t>
      </w:r>
    </w:p>
    <w:p>
      <w:pPr>
        <w:pStyle w:val="BodyText"/>
        <w:spacing w:before="2"/>
        <w:rPr>
          <w:sz w:val="20"/>
        </w:rPr>
      </w:pPr>
    </w:p>
    <w:p>
      <w:pPr>
        <w:pStyle w:val="BodyText"/>
        <w:spacing w:line="254" w:lineRule="auto"/>
        <w:ind w:left="691" w:right="384" w:firstLine="4"/>
      </w:pPr>
      <w:r>
        <w:rPr>
          <w:color w:val="313131"/>
          <w:w w:val="105"/>
        </w:rPr>
        <w:t>If you have any questions about this Notice, please forward them to: </w:t>
      </w:r>
      <w:hyperlink r:id="rId6">
        <w:r>
          <w:rPr>
            <w:color w:val="444897"/>
            <w:w w:val="105"/>
            <w:u w:val="thick" w:color="444897"/>
          </w:rPr>
          <w:t>compliance1@customs.gov.au</w:t>
        </w:r>
      </w:hyperlink>
    </w:p>
    <w:p>
      <w:pPr>
        <w:pStyle w:val="BodyText"/>
        <w:spacing w:before="6"/>
      </w:pPr>
    </w:p>
    <w:p>
      <w:pPr>
        <w:pStyle w:val="BodyText"/>
        <w:ind w:left="691"/>
      </w:pPr>
      <w:r>
        <w:rPr>
          <w:color w:val="313131"/>
          <w:w w:val="105"/>
        </w:rPr>
        <w:t>[signed]</w:t>
      </w:r>
    </w:p>
    <w:p>
      <w:pPr>
        <w:pStyle w:val="BodyText"/>
        <w:spacing w:before="7"/>
        <w:ind w:left="694"/>
      </w:pPr>
      <w:r>
        <w:rPr>
          <w:color w:val="313131"/>
          <w:w w:val="105"/>
        </w:rPr>
        <w:t>Anthony Seebach</w:t>
      </w:r>
    </w:p>
    <w:p>
      <w:pPr>
        <w:pStyle w:val="BodyText"/>
        <w:spacing w:line="247" w:lineRule="auto" w:before="12"/>
        <w:ind w:left="692" w:right="4420" w:hanging="3"/>
      </w:pPr>
      <w:r>
        <w:rPr>
          <w:color w:val="313131"/>
          <w:w w:val="105"/>
        </w:rPr>
        <w:t>National Manager Compliance Assurance Branch 6 September 2013</w:t>
      </w:r>
    </w:p>
    <w:p>
      <w:pPr>
        <w:spacing w:after="0" w:line="247" w:lineRule="auto"/>
        <w:sectPr>
          <w:type w:val="continuous"/>
          <w:pgSz w:w="11730" w:h="16780"/>
          <w:pgMar w:top="1180" w:bottom="280" w:left="940" w:right="1220"/>
        </w:sectPr>
      </w:pPr>
    </w:p>
    <w:p>
      <w:pPr>
        <w:pStyle w:val="Heading1"/>
        <w:spacing w:before="81"/>
        <w:ind w:left="619" w:right="609"/>
        <w:jc w:val="center"/>
      </w:pPr>
      <w:r>
        <w:rPr>
          <w:color w:val="2F2F2F"/>
          <w:w w:val="105"/>
        </w:rPr>
        <w:t>Attachment A</w:t>
      </w:r>
    </w:p>
    <w:p>
      <w:pPr>
        <w:pStyle w:val="BodyText"/>
        <w:spacing w:before="6"/>
        <w:rPr>
          <w:b/>
          <w:sz w:val="21"/>
        </w:rPr>
      </w:pPr>
    </w:p>
    <w:p>
      <w:pPr>
        <w:spacing w:before="0"/>
        <w:ind w:left="619" w:right="620" w:firstLine="0"/>
        <w:jc w:val="center"/>
        <w:rPr>
          <w:b/>
          <w:sz w:val="19"/>
        </w:rPr>
      </w:pPr>
      <w:r>
        <w:rPr>
          <w:b/>
          <w:color w:val="2F2F2F"/>
          <w:w w:val="105"/>
          <w:sz w:val="19"/>
        </w:rPr>
        <w:t>LIST OF COMMERCIAL DOCUMENTS AND EVIDENCE OF MONIES PRICE PAID</w:t>
      </w:r>
    </w:p>
    <w:p>
      <w:pPr>
        <w:pStyle w:val="BodyText"/>
        <w:rPr>
          <w:b/>
          <w:sz w:val="20"/>
        </w:rPr>
      </w:pPr>
    </w:p>
    <w:p>
      <w:pPr>
        <w:pStyle w:val="BodyText"/>
        <w:spacing w:before="2"/>
        <w:rPr>
          <w:b/>
          <w:sz w:val="21"/>
        </w:rPr>
      </w:pPr>
    </w:p>
    <w:p>
      <w:pPr>
        <w:pStyle w:val="BodyText"/>
        <w:ind w:left="119"/>
      </w:pPr>
      <w:r>
        <w:rPr>
          <w:color w:val="2F2F2F"/>
          <w:w w:val="105"/>
        </w:rPr>
        <w:t>The following documentation should be available for presentation to ACBPS when requested:</w:t>
      </w:r>
    </w:p>
    <w:p>
      <w:pPr>
        <w:pStyle w:val="BodyText"/>
        <w:spacing w:before="6"/>
        <w:rPr>
          <w:sz w:val="12"/>
        </w:rPr>
      </w:pPr>
    </w:p>
    <w:p>
      <w:pPr>
        <w:pStyle w:val="Heading1"/>
        <w:spacing w:before="94"/>
      </w:pPr>
      <w:r>
        <w:rPr>
          <w:color w:val="2F2F2F"/>
          <w:w w:val="105"/>
          <w:u w:val="thick" w:color="2F2F2F"/>
        </w:rPr>
        <w:t>Personal Importations/Exportations</w:t>
      </w:r>
    </w:p>
    <w:p>
      <w:pPr>
        <w:spacing w:after="0"/>
        <w:sectPr>
          <w:pgSz w:w="11730" w:h="16800"/>
          <w:pgMar w:top="1100" w:bottom="280" w:left="1520" w:right="1460"/>
        </w:sectPr>
      </w:pPr>
    </w:p>
    <w:p>
      <w:pPr>
        <w:spacing w:line="427" w:lineRule="auto" w:before="175"/>
        <w:ind w:left="121" w:right="24" w:hanging="2"/>
        <w:jc w:val="left"/>
        <w:rPr>
          <w:i/>
          <w:sz w:val="19"/>
        </w:rPr>
      </w:pPr>
      <w:r>
        <w:rPr>
          <w:i/>
          <w:color w:val="2F2F2F"/>
          <w:w w:val="105"/>
          <w:sz w:val="19"/>
        </w:rPr>
        <w:t>Transport Details: Order Details/Records:</w:t>
      </w:r>
    </w:p>
    <w:p>
      <w:pPr>
        <w:pStyle w:val="BodyText"/>
        <w:spacing w:before="6"/>
        <w:rPr>
          <w:i/>
        </w:rPr>
      </w:pPr>
    </w:p>
    <w:p>
      <w:pPr>
        <w:spacing w:line="620" w:lineRule="atLeast" w:before="0"/>
        <w:ind w:left="125" w:right="24" w:hanging="5"/>
        <w:jc w:val="left"/>
        <w:rPr>
          <w:i/>
          <w:sz w:val="19"/>
        </w:rPr>
      </w:pPr>
      <w:r>
        <w:rPr>
          <w:i/>
          <w:color w:val="2F2F2F"/>
          <w:w w:val="105"/>
          <w:sz w:val="19"/>
        </w:rPr>
        <w:t>Evidence of Payment: Permissions:</w:t>
      </w:r>
    </w:p>
    <w:p>
      <w:pPr>
        <w:spacing w:before="175"/>
        <w:ind w:left="120" w:right="0" w:firstLine="0"/>
        <w:jc w:val="left"/>
        <w:rPr>
          <w:i/>
          <w:sz w:val="19"/>
        </w:rPr>
      </w:pPr>
      <w:r>
        <w:rPr/>
        <w:br w:type="column"/>
      </w:r>
      <w:r>
        <w:rPr>
          <w:i/>
          <w:color w:val="2F2F2F"/>
          <w:w w:val="105"/>
          <w:sz w:val="19"/>
        </w:rPr>
        <w:t>HAWB/OBOUConsignment Note</w:t>
      </w:r>
    </w:p>
    <w:p>
      <w:pPr>
        <w:spacing w:line="254" w:lineRule="auto" w:before="176"/>
        <w:ind w:left="123" w:right="835" w:hanging="4"/>
        <w:jc w:val="left"/>
        <w:rPr>
          <w:i/>
          <w:sz w:val="19"/>
        </w:rPr>
      </w:pPr>
      <w:r>
        <w:rPr>
          <w:i/>
          <w:color w:val="2F2F2F"/>
          <w:w w:val="105"/>
          <w:sz w:val="19"/>
        </w:rPr>
        <w:t>Order confirmation (Including online/Purchase order/arrangement emails</w:t>
      </w:r>
    </w:p>
    <w:p>
      <w:pPr>
        <w:spacing w:before="157"/>
        <w:ind w:left="119" w:right="0" w:firstLine="0"/>
        <w:jc w:val="left"/>
        <w:rPr>
          <w:i/>
          <w:sz w:val="19"/>
        </w:rPr>
      </w:pPr>
      <w:r>
        <w:rPr>
          <w:i/>
          <w:color w:val="2F2F2F"/>
          <w:w w:val="105"/>
          <w:sz w:val="19"/>
        </w:rPr>
        <w:t>Full invoice</w:t>
      </w:r>
    </w:p>
    <w:p>
      <w:pPr>
        <w:spacing w:line="254" w:lineRule="auto" w:before="171"/>
        <w:ind w:left="120" w:right="835" w:firstLine="4"/>
        <w:jc w:val="left"/>
        <w:rPr>
          <w:i/>
          <w:sz w:val="19"/>
        </w:rPr>
      </w:pPr>
      <w:r>
        <w:rPr>
          <w:i/>
          <w:color w:val="2F2F2F"/>
          <w:w w:val="105"/>
          <w:sz w:val="19"/>
        </w:rPr>
        <w:t>Receipt/Bank transfers/PayPal/EFT/Credit card or bank account statements/EBay transaction number</w:t>
      </w:r>
    </w:p>
    <w:p>
      <w:pPr>
        <w:spacing w:before="156"/>
        <w:ind w:left="122" w:right="0" w:firstLine="0"/>
        <w:jc w:val="left"/>
        <w:rPr>
          <w:i/>
          <w:sz w:val="19"/>
        </w:rPr>
      </w:pPr>
      <w:r>
        <w:rPr>
          <w:i/>
          <w:color w:val="2F2F2F"/>
          <w:w w:val="105"/>
          <w:sz w:val="19"/>
        </w:rPr>
        <w:t>Import/Export permits/details</w:t>
      </w:r>
    </w:p>
    <w:p>
      <w:pPr>
        <w:spacing w:after="0"/>
        <w:jc w:val="left"/>
        <w:rPr>
          <w:sz w:val="19"/>
        </w:rPr>
        <w:sectPr>
          <w:type w:val="continuous"/>
          <w:pgSz w:w="11730" w:h="16800"/>
          <w:pgMar w:top="1180" w:bottom="280" w:left="1520" w:right="1460"/>
          <w:cols w:num="2" w:equalWidth="0">
            <w:col w:w="2208" w:space="673"/>
            <w:col w:w="5869"/>
          </w:cols>
        </w:sectPr>
      </w:pPr>
    </w:p>
    <w:p>
      <w:pPr>
        <w:pStyle w:val="Heading1"/>
        <w:spacing w:before="175"/>
      </w:pPr>
      <w:r>
        <w:rPr>
          <w:color w:val="2F2F2F"/>
          <w:w w:val="105"/>
          <w:u w:val="thick" w:color="2F2F2F"/>
        </w:rPr>
        <w:t>Commercial Importations/Exportations</w:t>
      </w:r>
    </w:p>
    <w:p>
      <w:pPr>
        <w:tabs>
          <w:tab w:pos="3022" w:val="left" w:leader="none"/>
        </w:tabs>
        <w:spacing w:before="166"/>
        <w:ind w:left="119" w:right="0" w:firstLine="0"/>
        <w:jc w:val="left"/>
        <w:rPr>
          <w:rFonts w:ascii="Georgia-BoldItalic"/>
          <w:b/>
          <w:i/>
          <w:sz w:val="20"/>
        </w:rPr>
      </w:pPr>
      <w:r>
        <w:rPr>
          <w:color w:val="2F2F2F"/>
          <w:sz w:val="19"/>
        </w:rPr>
        <w:t>Transport</w:t>
      </w:r>
      <w:r>
        <w:rPr>
          <w:color w:val="2F2F2F"/>
          <w:spacing w:val="30"/>
          <w:sz w:val="19"/>
        </w:rPr>
        <w:t> </w:t>
      </w:r>
      <w:r>
        <w:rPr>
          <w:color w:val="2F2F2F"/>
          <w:sz w:val="19"/>
        </w:rPr>
        <w:t>Details:</w:t>
        <w:tab/>
      </w:r>
      <w:r>
        <w:rPr>
          <w:rFonts w:ascii="Georgia-BoldItalic"/>
          <w:b/>
          <w:i/>
          <w:color w:val="2F2F2F"/>
          <w:sz w:val="20"/>
        </w:rPr>
        <w:t>MAWB/HA</w:t>
      </w:r>
      <w:r>
        <w:rPr>
          <w:rFonts w:ascii="Georgia-BoldItalic"/>
          <w:b/>
          <w:i/>
          <w:color w:val="2F2F2F"/>
          <w:spacing w:val="-42"/>
          <w:sz w:val="20"/>
        </w:rPr>
        <w:t> </w:t>
      </w:r>
      <w:r>
        <w:rPr>
          <w:rFonts w:ascii="Georgia-BoldItalic"/>
          <w:b/>
          <w:i/>
          <w:color w:val="2F2F2F"/>
          <w:sz w:val="20"/>
        </w:rPr>
        <w:t>WB/OBOUConsignment Note</w:t>
      </w:r>
    </w:p>
    <w:p>
      <w:pPr>
        <w:spacing w:before="167"/>
        <w:ind w:left="3005" w:right="0" w:firstLine="0"/>
        <w:jc w:val="left"/>
        <w:rPr>
          <w:i/>
          <w:sz w:val="19"/>
        </w:rPr>
      </w:pPr>
      <w:r>
        <w:rPr>
          <w:i/>
          <w:color w:val="2F2F2F"/>
          <w:w w:val="105"/>
          <w:sz w:val="19"/>
        </w:rPr>
        <w:t>Packing list</w:t>
      </w:r>
    </w:p>
    <w:p>
      <w:pPr>
        <w:tabs>
          <w:tab w:pos="2284" w:val="left" w:leader="none"/>
        </w:tabs>
        <w:spacing w:before="171"/>
        <w:ind w:left="121" w:right="0" w:firstLine="0"/>
        <w:jc w:val="left"/>
        <w:rPr>
          <w:i/>
          <w:sz w:val="19"/>
        </w:rPr>
      </w:pPr>
      <w:r>
        <w:rPr>
          <w:i/>
          <w:color w:val="2F2F2F"/>
          <w:w w:val="105"/>
          <w:sz w:val="19"/>
        </w:rPr>
        <w:t>Order</w:t>
      </w:r>
      <w:r>
        <w:rPr>
          <w:i/>
          <w:color w:val="2F2F2F"/>
          <w:spacing w:val="1"/>
          <w:w w:val="105"/>
          <w:sz w:val="19"/>
        </w:rPr>
        <w:t> </w:t>
      </w:r>
      <w:r>
        <w:rPr>
          <w:i/>
          <w:color w:val="2F2F2F"/>
          <w:w w:val="105"/>
          <w:sz w:val="19"/>
        </w:rPr>
        <w:t>details/records:</w:t>
        <w:tab/>
        <w:t>Purchase order/ Contract of</w:t>
      </w:r>
      <w:r>
        <w:rPr>
          <w:i/>
          <w:color w:val="2F2F2F"/>
          <w:spacing w:val="22"/>
          <w:w w:val="105"/>
          <w:sz w:val="19"/>
        </w:rPr>
        <w:t> </w:t>
      </w:r>
      <w:r>
        <w:rPr>
          <w:i/>
          <w:color w:val="2F2F2F"/>
          <w:w w:val="105"/>
          <w:sz w:val="19"/>
        </w:rPr>
        <w:t>sale</w:t>
      </w:r>
    </w:p>
    <w:p>
      <w:pPr>
        <w:spacing w:line="254" w:lineRule="auto" w:before="175"/>
        <w:ind w:left="3003" w:right="0" w:hanging="2"/>
        <w:jc w:val="left"/>
        <w:rPr>
          <w:i/>
          <w:sz w:val="19"/>
        </w:rPr>
      </w:pPr>
      <w:r>
        <w:rPr>
          <w:i/>
          <w:color w:val="2F2F2F"/>
          <w:w w:val="105"/>
          <w:sz w:val="19"/>
        </w:rPr>
        <w:t>Order confirmation/arrangement emails or online order confirmation</w:t>
      </w:r>
    </w:p>
    <w:p>
      <w:pPr>
        <w:spacing w:before="162"/>
        <w:ind w:left="3006" w:right="0" w:firstLine="0"/>
        <w:jc w:val="left"/>
        <w:rPr>
          <w:i/>
          <w:sz w:val="19"/>
        </w:rPr>
      </w:pPr>
      <w:r>
        <w:rPr>
          <w:i/>
          <w:color w:val="2F2F2F"/>
          <w:w w:val="105"/>
          <w:sz w:val="19"/>
        </w:rPr>
        <w:t>Commercial invoice</w:t>
      </w:r>
    </w:p>
    <w:p>
      <w:pPr>
        <w:spacing w:after="0"/>
        <w:jc w:val="left"/>
        <w:rPr>
          <w:sz w:val="19"/>
        </w:rPr>
        <w:sectPr>
          <w:type w:val="continuous"/>
          <w:pgSz w:w="11730" w:h="16800"/>
          <w:pgMar w:top="1180" w:bottom="280" w:left="1520" w:right="1460"/>
        </w:sectPr>
      </w:pPr>
    </w:p>
    <w:p>
      <w:pPr>
        <w:spacing w:before="171"/>
        <w:ind w:left="120" w:right="0" w:firstLine="0"/>
        <w:jc w:val="left"/>
        <w:rPr>
          <w:i/>
          <w:sz w:val="19"/>
        </w:rPr>
      </w:pPr>
      <w:r>
        <w:rPr>
          <w:i/>
          <w:color w:val="2F2F2F"/>
          <w:w w:val="105"/>
          <w:sz w:val="19"/>
        </w:rPr>
        <w:t>Evidence of payment:</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4"/>
        <w:rPr>
          <w:i/>
          <w:sz w:val="17"/>
        </w:rPr>
      </w:pPr>
    </w:p>
    <w:p>
      <w:pPr>
        <w:spacing w:line="427" w:lineRule="auto" w:before="0"/>
        <w:ind w:left="126" w:right="11" w:hanging="1"/>
        <w:jc w:val="left"/>
        <w:rPr>
          <w:i/>
          <w:sz w:val="19"/>
        </w:rPr>
      </w:pPr>
      <w:r>
        <w:rPr>
          <w:i/>
          <w:color w:val="2F2F2F"/>
          <w:w w:val="105"/>
          <w:sz w:val="19"/>
        </w:rPr>
        <w:t>Permissions: Concessional Treatment:</w:t>
      </w:r>
    </w:p>
    <w:p>
      <w:pPr>
        <w:spacing w:line="247" w:lineRule="auto" w:before="176"/>
        <w:ind w:left="122" w:right="0" w:hanging="2"/>
        <w:jc w:val="left"/>
        <w:rPr>
          <w:i/>
          <w:sz w:val="19"/>
        </w:rPr>
      </w:pPr>
      <w:r>
        <w:rPr/>
        <w:br w:type="column"/>
      </w:r>
      <w:r>
        <w:rPr>
          <w:i/>
          <w:color w:val="2F2F2F"/>
          <w:w w:val="105"/>
          <w:sz w:val="19"/>
        </w:rPr>
        <w:t>Letter of credit/bank transfers/receipt/PayPal/EFT/credit card or bank account statements</w:t>
      </w:r>
    </w:p>
    <w:p>
      <w:pPr>
        <w:spacing w:line="254" w:lineRule="auto" w:before="165"/>
        <w:ind w:left="123" w:right="0" w:firstLine="3"/>
        <w:jc w:val="left"/>
        <w:rPr>
          <w:i/>
          <w:sz w:val="19"/>
        </w:rPr>
      </w:pPr>
      <w:r>
        <w:rPr>
          <w:i/>
          <w:color w:val="2F2F2F"/>
          <w:w w:val="105"/>
          <w:sz w:val="19"/>
        </w:rPr>
        <w:t>If ongoing trading/payment terms are in place, documents detailing those arrangements</w:t>
      </w:r>
      <w:r>
        <w:rPr>
          <w:i/>
          <w:color w:val="525252"/>
          <w:w w:val="105"/>
          <w:sz w:val="19"/>
        </w:rPr>
        <w:t>. </w:t>
      </w:r>
      <w:r>
        <w:rPr>
          <w:i/>
          <w:color w:val="2F2F2F"/>
          <w:w w:val="105"/>
          <w:sz w:val="19"/>
        </w:rPr>
        <w:t>Copies of past payments for like goods or evidence of value such as online sale web pages, suppliers</w:t>
      </w:r>
      <w:r>
        <w:rPr>
          <w:i/>
          <w:color w:val="525252"/>
          <w:w w:val="105"/>
          <w:sz w:val="19"/>
        </w:rPr>
        <w:t>' </w:t>
      </w:r>
      <w:r>
        <w:rPr>
          <w:i/>
          <w:color w:val="2F2F2F"/>
          <w:w w:val="105"/>
          <w:sz w:val="19"/>
        </w:rPr>
        <w:t>published pricelists or catalogues may provide supporting evidence.</w:t>
      </w:r>
    </w:p>
    <w:p>
      <w:pPr>
        <w:spacing w:before="158"/>
        <w:ind w:left="127" w:right="0" w:firstLine="0"/>
        <w:jc w:val="left"/>
        <w:rPr>
          <w:i/>
          <w:sz w:val="19"/>
        </w:rPr>
      </w:pPr>
      <w:r>
        <w:rPr>
          <w:i/>
          <w:color w:val="2F2F2F"/>
          <w:w w:val="105"/>
          <w:sz w:val="19"/>
        </w:rPr>
        <w:t>If goods are free of charge, refer</w:t>
      </w:r>
      <w:r>
        <w:rPr>
          <w:i/>
          <w:color w:val="2F2F2F"/>
          <w:spacing w:val="1"/>
          <w:w w:val="105"/>
          <w:sz w:val="19"/>
        </w:rPr>
        <w:t> </w:t>
      </w:r>
      <w:r>
        <w:rPr>
          <w:i/>
          <w:color w:val="2F2F2F"/>
          <w:w w:val="105"/>
          <w:sz w:val="19"/>
        </w:rPr>
        <w:t>to</w:t>
      </w:r>
    </w:p>
    <w:p>
      <w:pPr>
        <w:spacing w:line="247" w:lineRule="auto" w:before="13"/>
        <w:ind w:left="125" w:right="105" w:hanging="3"/>
        <w:jc w:val="left"/>
        <w:rPr>
          <w:i/>
          <w:sz w:val="19"/>
        </w:rPr>
      </w:pPr>
      <w:hyperlink r:id="rId7">
        <w:r>
          <w:rPr>
            <w:i/>
            <w:color w:val="484B9A"/>
            <w:spacing w:val="-1"/>
            <w:w w:val="105"/>
            <w:sz w:val="19"/>
            <w:u w:val="thick" w:color="484B9A"/>
          </w:rPr>
          <w:t>http://www</w:t>
        </w:r>
        <w:r>
          <w:rPr>
            <w:i/>
            <w:color w:val="6E70AF"/>
            <w:spacing w:val="-1"/>
            <w:w w:val="105"/>
            <w:sz w:val="19"/>
            <w:u w:val="thick" w:color="484B9A"/>
          </w:rPr>
          <w:t>.</w:t>
        </w:r>
        <w:r>
          <w:rPr>
            <w:i/>
            <w:color w:val="484B9A"/>
            <w:spacing w:val="-1"/>
            <w:w w:val="105"/>
            <w:sz w:val="19"/>
            <w:u w:val="thick" w:color="484B9A"/>
          </w:rPr>
          <w:t>customs.gov</w:t>
        </w:r>
        <w:r>
          <w:rPr>
            <w:i/>
            <w:color w:val="6E70AF"/>
            <w:spacing w:val="-1"/>
            <w:w w:val="105"/>
            <w:sz w:val="19"/>
            <w:u w:val="thick" w:color="484B9A"/>
          </w:rPr>
          <w:t>.</w:t>
        </w:r>
        <w:r>
          <w:rPr>
            <w:i/>
            <w:color w:val="484B9A"/>
            <w:spacing w:val="-1"/>
            <w:w w:val="105"/>
            <w:sz w:val="19"/>
            <w:u w:val="thick" w:color="484B9A"/>
          </w:rPr>
          <w:t>au/webdatalresourceslfilesNaluationof</w:t>
        </w:r>
      </w:hyperlink>
      <w:r>
        <w:rPr>
          <w:i/>
          <w:color w:val="484B9A"/>
          <w:spacing w:val="-1"/>
          <w:w w:val="105"/>
          <w:sz w:val="19"/>
        </w:rPr>
        <w:t> </w:t>
      </w:r>
      <w:r>
        <w:rPr>
          <w:i/>
          <w:color w:val="484B9A"/>
          <w:w w:val="105"/>
          <w:sz w:val="19"/>
          <w:u w:val="thick" w:color="484B9A"/>
        </w:rPr>
        <w:t>Free-of-chargeGoodsApril2011.pdf</w:t>
      </w:r>
    </w:p>
    <w:p>
      <w:pPr>
        <w:spacing w:line="254" w:lineRule="auto" w:before="169"/>
        <w:ind w:left="126" w:right="0" w:firstLine="3"/>
        <w:jc w:val="left"/>
        <w:rPr>
          <w:i/>
          <w:sz w:val="19"/>
        </w:rPr>
      </w:pPr>
      <w:r>
        <w:rPr>
          <w:i/>
          <w:color w:val="2F2F2F"/>
          <w:w w:val="105"/>
          <w:sz w:val="19"/>
        </w:rPr>
        <w:t>Evidence should be provided of what method of valuation was used and supporting documentation or information that was consulted</w:t>
      </w:r>
      <w:r>
        <w:rPr>
          <w:i/>
          <w:color w:val="525252"/>
          <w:w w:val="105"/>
          <w:sz w:val="19"/>
        </w:rPr>
        <w:t>.</w:t>
      </w:r>
    </w:p>
    <w:p>
      <w:pPr>
        <w:spacing w:before="161"/>
        <w:ind w:left="127" w:right="0" w:firstLine="0"/>
        <w:jc w:val="left"/>
        <w:rPr>
          <w:i/>
          <w:sz w:val="19"/>
        </w:rPr>
      </w:pPr>
      <w:r>
        <w:rPr>
          <w:i/>
          <w:color w:val="2F2F2F"/>
          <w:w w:val="105"/>
          <w:sz w:val="19"/>
        </w:rPr>
        <w:t>Import/Export permits/details</w:t>
      </w:r>
    </w:p>
    <w:p>
      <w:pPr>
        <w:spacing w:line="249" w:lineRule="auto" w:before="171"/>
        <w:ind w:left="128" w:right="483" w:firstLine="2"/>
        <w:jc w:val="both"/>
        <w:rPr>
          <w:i/>
          <w:sz w:val="19"/>
        </w:rPr>
      </w:pPr>
      <w:r>
        <w:rPr>
          <w:i/>
          <w:color w:val="2F2F2F"/>
          <w:w w:val="105"/>
          <w:sz w:val="19"/>
        </w:rPr>
        <w:t>Evidence to support eligibility. For example proof of {Where claimed) export when claiming 'Returned Australian Goods' concession</w:t>
      </w:r>
      <w:r>
        <w:rPr>
          <w:i/>
          <w:color w:val="525252"/>
          <w:w w:val="105"/>
          <w:sz w:val="19"/>
        </w:rPr>
        <w:t>.</w:t>
      </w:r>
    </w:p>
    <w:sectPr>
      <w:type w:val="continuous"/>
      <w:pgSz w:w="11730" w:h="16800"/>
      <w:pgMar w:top="1180" w:bottom="280" w:left="1520" w:right="1460"/>
      <w:cols w:num="2" w:equalWidth="0">
        <w:col w:w="2375" w:space="505"/>
        <w:col w:w="58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BoldItalic">
    <w:altName w:val="Georgia-BoldItalic"/>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120"/>
      <w:outlineLvl w:val="1"/>
    </w:pPr>
    <w:rPr>
      <w:rFonts w:ascii="Arial" w:hAnsi="Arial" w:eastAsia="Arial" w:cs="Arial"/>
      <w:b/>
      <w:bCs/>
      <w:sz w:val="19"/>
      <w:szCs w:val="19"/>
    </w:rPr>
  </w:style>
  <w:style w:styleId="Title" w:type="paragraph">
    <w:name w:val="Title"/>
    <w:basedOn w:val="Normal"/>
    <w:uiPriority w:val="1"/>
    <w:qFormat/>
    <w:pPr>
      <w:spacing w:before="89"/>
      <w:ind w:left="1601" w:hanging="1"/>
    </w:pPr>
    <w:rPr>
      <w:rFonts w:ascii="Times New Roman" w:hAnsi="Times New Roman" w:eastAsia="Times New Roman" w:cs="Times New Roman"/>
      <w:b/>
      <w:bCs/>
      <w:sz w:val="28"/>
      <w:szCs w:val="28"/>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compliance1@customs.gov.au" TargetMode="External"/><Relationship Id="rId7" Type="http://schemas.openxmlformats.org/officeDocument/2006/relationships/hyperlink" Target="http://www.customs.gov.au/webdatalresourceslfilesNaluation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2020-12-09T22:56:49Z</dcterms:created>
  <dcterms:modified xsi:type="dcterms:W3CDTF">2020-12-09T22:56:49Z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2004-10-29T00:00:00Z</vt:filetime>
  </property>
  <property fmtid="{D5CDD505-2E9C-101B-9397-08002B2CF9AE}" pid="3" name="Creator">
    <vt:lpwstr>Canon </vt:lpwstr>
  </property>
  <property fmtid="{D5CDD505-2E9C-101B-9397-08002B2CF9AE}" pid="4" name="LastSaved">
    <vt:filetime>2004-10-29T00:00:00Z</vt:filetime>
  </property>
</Properties>
</file>