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4161" w:right="3605" w:firstLine="0"/>
        <w:jc w:val="center"/>
        <w:rPr>
          <w:b/>
          <w:sz w:val="19"/>
        </w:rPr>
      </w:pPr>
      <w:r>
        <w:rPr/>
        <w:pict>
          <v:line style="position:absolute;mso-position-horizontal-relative:page;mso-position-vertical-relative:page;z-index:15729664" from=".720628pt,795.635089pt" to=".720628pt,715.879395pt" stroked="true" strokeweight=".4804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767552" from="17.295069pt,133.806992pt" to="586.110653pt,133.806992pt" stroked="true" strokeweight="6.966612pt" strokecolor="#000000">
            <v:stroke dashstyle="solid"/>
            <w10:wrap type="none"/>
          </v:line>
        </w:pict>
      </w:r>
      <w:r>
        <w:rPr/>
        <w:pict>
          <v:rect style="position:absolute;margin-left:.960837pt;margin-top:838.035339pt;width:594.039172pt;height:1.201140pt;mso-position-horizontal-relative:page;mso-position-vertical-relative:page;z-index:15730688" filled="true" fillcolor="#000000" stroked="false">
            <v:fill type="solid"/>
            <w10:wrap type="none"/>
          </v:rect>
        </w:pict>
      </w:r>
      <w:r>
        <w:rPr>
          <w:b/>
          <w:color w:val="D82D2D"/>
          <w:w w:val="105"/>
          <w:sz w:val="19"/>
        </w:rPr>
        <w:t>UNCLASSIFIED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756563</wp:posOffset>
            </wp:positionH>
            <wp:positionV relativeFrom="paragraph">
              <wp:posOffset>-67216</wp:posOffset>
            </wp:positionV>
            <wp:extent cx="866386" cy="62238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386" cy="62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4875"/>
          <w:w w:val="90"/>
          <w:u w:val="thick" w:color="284875"/>
        </w:rPr>
        <w:t>Australian</w:t>
      </w:r>
      <w:r>
        <w:rPr>
          <w:color w:val="284875"/>
          <w:spacing w:val="29"/>
          <w:w w:val="90"/>
          <w:u w:val="thick" w:color="284875"/>
        </w:rPr>
        <w:t> </w:t>
      </w:r>
      <w:r>
        <w:rPr>
          <w:color w:val="284875"/>
          <w:w w:val="90"/>
          <w:u w:val="thick" w:color="284875"/>
        </w:rPr>
        <w:t>Government</w:t>
      </w:r>
    </w:p>
    <w:p>
      <w:pPr>
        <w:spacing w:line="249" w:lineRule="auto" w:before="129"/>
        <w:ind w:left="1609" w:right="4399" w:hanging="12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284875"/>
          <w:sz w:val="25"/>
        </w:rPr>
        <w:t>Australian Customs and </w:t>
      </w:r>
      <w:r>
        <w:rPr>
          <w:rFonts w:ascii="Times New Roman"/>
          <w:b/>
          <w:color w:val="284875"/>
          <w:w w:val="95"/>
          <w:sz w:val="25"/>
        </w:rPr>
        <w:t>Border Protection</w:t>
      </w:r>
      <w:r>
        <w:rPr>
          <w:rFonts w:ascii="Times New Roman"/>
          <w:b/>
          <w:color w:val="284875"/>
          <w:spacing w:val="-30"/>
          <w:w w:val="95"/>
          <w:sz w:val="25"/>
        </w:rPr>
        <w:t> </w:t>
      </w:r>
      <w:r>
        <w:rPr>
          <w:rFonts w:ascii="Times New Roman"/>
          <w:b/>
          <w:color w:val="284875"/>
          <w:w w:val="95"/>
          <w:sz w:val="25"/>
        </w:rPr>
        <w:t>Service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9"/>
        <w:rPr>
          <w:rFonts w:ascii="Times New Roman"/>
          <w:b/>
          <w:sz w:val="29"/>
        </w:rPr>
      </w:pPr>
    </w:p>
    <w:p>
      <w:pPr>
        <w:spacing w:line="249" w:lineRule="auto" w:before="0" w:after="18"/>
        <w:ind w:left="673" w:right="0" w:firstLine="5"/>
        <w:jc w:val="left"/>
        <w:rPr>
          <w:b/>
          <w:sz w:val="27"/>
        </w:rPr>
      </w:pPr>
      <w:r>
        <w:rPr>
          <w:b/>
          <w:color w:val="343836"/>
          <w:w w:val="105"/>
          <w:sz w:val="27"/>
        </w:rPr>
        <w:t>AUSTRALIAN</w:t>
      </w:r>
      <w:r>
        <w:rPr>
          <w:b/>
          <w:color w:val="343836"/>
          <w:spacing w:val="-20"/>
          <w:w w:val="105"/>
          <w:sz w:val="27"/>
        </w:rPr>
        <w:t> </w:t>
      </w:r>
      <w:r>
        <w:rPr>
          <w:b/>
          <w:color w:val="343836"/>
          <w:w w:val="105"/>
          <w:sz w:val="27"/>
        </w:rPr>
        <w:t>CUSTOMS</w:t>
      </w:r>
      <w:r>
        <w:rPr>
          <w:b/>
          <w:color w:val="343836"/>
          <w:spacing w:val="-16"/>
          <w:w w:val="105"/>
          <w:sz w:val="27"/>
        </w:rPr>
        <w:t> </w:t>
      </w:r>
      <w:r>
        <w:rPr>
          <w:b/>
          <w:color w:val="343836"/>
          <w:w w:val="105"/>
          <w:sz w:val="27"/>
        </w:rPr>
        <w:t>AND</w:t>
      </w:r>
      <w:r>
        <w:rPr>
          <w:b/>
          <w:color w:val="343836"/>
          <w:spacing w:val="-27"/>
          <w:w w:val="105"/>
          <w:sz w:val="27"/>
        </w:rPr>
        <w:t> </w:t>
      </w:r>
      <w:r>
        <w:rPr>
          <w:b/>
          <w:color w:val="343836"/>
          <w:w w:val="105"/>
          <w:sz w:val="27"/>
        </w:rPr>
        <w:t>BORDER</w:t>
      </w:r>
      <w:r>
        <w:rPr>
          <w:b/>
          <w:color w:val="343836"/>
          <w:spacing w:val="-27"/>
          <w:w w:val="105"/>
          <w:sz w:val="27"/>
        </w:rPr>
        <w:t> </w:t>
      </w:r>
      <w:r>
        <w:rPr>
          <w:b/>
          <w:color w:val="343836"/>
          <w:w w:val="105"/>
          <w:sz w:val="27"/>
        </w:rPr>
        <w:t>PROTECTION</w:t>
      </w:r>
      <w:r>
        <w:rPr>
          <w:b/>
          <w:color w:val="343836"/>
          <w:spacing w:val="-22"/>
          <w:w w:val="105"/>
          <w:sz w:val="27"/>
        </w:rPr>
        <w:t> </w:t>
      </w:r>
      <w:r>
        <w:rPr>
          <w:b/>
          <w:color w:val="343836"/>
          <w:w w:val="105"/>
          <w:sz w:val="27"/>
        </w:rPr>
        <w:t>NOTICE NO.</w:t>
      </w:r>
      <w:r>
        <w:rPr>
          <w:b/>
          <w:color w:val="343836"/>
          <w:spacing w:val="-10"/>
          <w:w w:val="105"/>
          <w:sz w:val="27"/>
        </w:rPr>
        <w:t> </w:t>
      </w:r>
      <w:r>
        <w:rPr>
          <w:b/>
          <w:color w:val="343836"/>
          <w:w w:val="105"/>
          <w:sz w:val="27"/>
        </w:rPr>
        <w:t>2014/17</w:t>
      </w:r>
    </w:p>
    <w:p>
      <w:pPr>
        <w:pStyle w:val="BodyText"/>
        <w:spacing w:line="20" w:lineRule="exact"/>
        <w:ind w:left="622" w:right="-29"/>
        <w:rPr>
          <w:sz w:val="2"/>
        </w:rPr>
      </w:pPr>
      <w:r>
        <w:rPr>
          <w:sz w:val="2"/>
        </w:rPr>
        <w:pict>
          <v:group style="width:431.45pt;height:.75pt;mso-position-horizontal-relative:char;mso-position-vertical-relative:line" coordorigin="0,0" coordsize="8629,15">
            <v:line style="position:absolute" from="0,7" to="8628,7" stroked="true" strokeweight=".72068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23"/>
        </w:rPr>
      </w:pPr>
    </w:p>
    <w:p>
      <w:pPr>
        <w:spacing w:line="252" w:lineRule="auto" w:before="0"/>
        <w:ind w:left="673" w:right="510" w:hanging="1"/>
        <w:jc w:val="left"/>
        <w:rPr>
          <w:b/>
          <w:sz w:val="27"/>
        </w:rPr>
      </w:pPr>
      <w:r>
        <w:rPr>
          <w:b/>
          <w:color w:val="343836"/>
          <w:w w:val="105"/>
          <w:sz w:val="27"/>
        </w:rPr>
        <w:t>Update on the classification of devices commonly known as laser pointers</w:t>
      </w:r>
    </w:p>
    <w:p>
      <w:pPr>
        <w:pStyle w:val="BodyText"/>
        <w:spacing w:before="5"/>
        <w:rPr>
          <w:b/>
          <w:sz w:val="43"/>
        </w:rPr>
      </w:pPr>
    </w:p>
    <w:p>
      <w:pPr>
        <w:pStyle w:val="BodyText"/>
        <w:ind w:left="673" w:right="272" w:firstLine="5"/>
      </w:pPr>
      <w:r>
        <w:rPr>
          <w:color w:val="343836"/>
        </w:rPr>
        <w:t>In July 2008 an import control on the importation of high powered hand held </w:t>
      </w:r>
      <w:r>
        <w:rPr>
          <w:color w:val="343836"/>
          <w:spacing w:val="-10"/>
        </w:rPr>
        <w:t>goods</w:t>
      </w:r>
      <w:r>
        <w:rPr>
          <w:color w:val="696B69"/>
          <w:spacing w:val="-10"/>
        </w:rPr>
        <w:t>, </w:t>
      </w:r>
      <w:r>
        <w:rPr>
          <w:color w:val="343836"/>
        </w:rPr>
        <w:t>commonly known</w:t>
      </w:r>
      <w:r>
        <w:rPr>
          <w:color w:val="343836"/>
          <w:spacing w:val="-2"/>
        </w:rPr>
        <w:t> </w:t>
      </w:r>
      <w:r>
        <w:rPr>
          <w:color w:val="343836"/>
        </w:rPr>
        <w:t>as</w:t>
      </w:r>
      <w:r>
        <w:rPr>
          <w:color w:val="343836"/>
          <w:spacing w:val="-13"/>
        </w:rPr>
        <w:t> </w:t>
      </w:r>
      <w:r>
        <w:rPr>
          <w:color w:val="343836"/>
        </w:rPr>
        <w:t>laser</w:t>
      </w:r>
      <w:r>
        <w:rPr>
          <w:color w:val="343836"/>
          <w:spacing w:val="4"/>
        </w:rPr>
        <w:t> </w:t>
      </w:r>
      <w:r>
        <w:rPr>
          <w:color w:val="343836"/>
        </w:rPr>
        <w:t>pointers</w:t>
      </w:r>
      <w:r>
        <w:rPr>
          <w:color w:val="696B69"/>
        </w:rPr>
        <w:t>,</w:t>
      </w:r>
      <w:r>
        <w:rPr>
          <w:color w:val="696B69"/>
          <w:spacing w:val="-6"/>
        </w:rPr>
        <w:t> </w:t>
      </w:r>
      <w:r>
        <w:rPr>
          <w:color w:val="343836"/>
        </w:rPr>
        <w:t>with</w:t>
      </w:r>
      <w:r>
        <w:rPr>
          <w:color w:val="343836"/>
          <w:spacing w:val="-7"/>
        </w:rPr>
        <w:t> </w:t>
      </w:r>
      <w:r>
        <w:rPr>
          <w:color w:val="343836"/>
        </w:rPr>
        <w:t>an</w:t>
      </w:r>
      <w:r>
        <w:rPr>
          <w:color w:val="343836"/>
          <w:spacing w:val="-8"/>
        </w:rPr>
        <w:t> </w:t>
      </w:r>
      <w:r>
        <w:rPr>
          <w:color w:val="343836"/>
        </w:rPr>
        <w:t>accessible</w:t>
      </w:r>
      <w:r>
        <w:rPr>
          <w:color w:val="343836"/>
          <w:spacing w:val="3"/>
        </w:rPr>
        <w:t> </w:t>
      </w:r>
      <w:r>
        <w:rPr>
          <w:color w:val="343836"/>
        </w:rPr>
        <w:t>emission</w:t>
      </w:r>
      <w:r>
        <w:rPr>
          <w:color w:val="343836"/>
          <w:spacing w:val="-2"/>
        </w:rPr>
        <w:t> </w:t>
      </w:r>
      <w:r>
        <w:rPr>
          <w:color w:val="343836"/>
        </w:rPr>
        <w:t>level</w:t>
      </w:r>
      <w:r>
        <w:rPr>
          <w:color w:val="343836"/>
          <w:spacing w:val="4"/>
        </w:rPr>
        <w:t> </w:t>
      </w:r>
      <w:r>
        <w:rPr>
          <w:color w:val="343836"/>
        </w:rPr>
        <w:t>greater</w:t>
      </w:r>
      <w:r>
        <w:rPr>
          <w:color w:val="343836"/>
          <w:spacing w:val="-3"/>
        </w:rPr>
        <w:t> </w:t>
      </w:r>
      <w:r>
        <w:rPr>
          <w:color w:val="343836"/>
        </w:rPr>
        <w:t>than</w:t>
      </w:r>
      <w:r>
        <w:rPr>
          <w:color w:val="343836"/>
          <w:spacing w:val="-9"/>
        </w:rPr>
        <w:t> </w:t>
      </w:r>
      <w:r>
        <w:rPr>
          <w:color w:val="343836"/>
        </w:rPr>
        <w:t>1</w:t>
      </w:r>
      <w:r>
        <w:rPr>
          <w:color w:val="343836"/>
          <w:spacing w:val="-10"/>
        </w:rPr>
        <w:t> </w:t>
      </w:r>
      <w:r>
        <w:rPr>
          <w:color w:val="343836"/>
        </w:rPr>
        <w:t>mW</w:t>
      </w:r>
      <w:r>
        <w:rPr>
          <w:color w:val="343836"/>
          <w:spacing w:val="6"/>
        </w:rPr>
        <w:t> </w:t>
      </w:r>
      <w:r>
        <w:rPr>
          <w:color w:val="343836"/>
        </w:rPr>
        <w:t>was</w:t>
      </w:r>
      <w:r>
        <w:rPr>
          <w:color w:val="343836"/>
          <w:spacing w:val="-5"/>
        </w:rPr>
        <w:t> </w:t>
      </w:r>
      <w:r>
        <w:rPr>
          <w:color w:val="4B4F4D"/>
        </w:rPr>
        <w:t>introduced</w:t>
      </w:r>
      <w:r>
        <w:rPr>
          <w:color w:val="4B4F4D"/>
          <w:spacing w:val="-26"/>
        </w:rPr>
        <w:t> </w:t>
      </w:r>
      <w:r>
        <w:rPr>
          <w:color w:val="696B69"/>
        </w:rPr>
        <w:t>. </w:t>
      </w:r>
      <w:r>
        <w:rPr>
          <w:color w:val="343836"/>
        </w:rPr>
        <w:t>This control is currently captured </w:t>
      </w:r>
      <w:r>
        <w:rPr>
          <w:color w:val="4B4F4D"/>
        </w:rPr>
        <w:t>in </w:t>
      </w:r>
      <w:r>
        <w:rPr>
          <w:color w:val="343836"/>
        </w:rPr>
        <w:t>Schedule 13 of the </w:t>
      </w:r>
      <w:r>
        <w:rPr>
          <w:i/>
          <w:color w:val="343836"/>
          <w:sz w:val="19"/>
        </w:rPr>
        <w:t>Customs (Prohibited Imports) Regulations 1956 </w:t>
      </w:r>
      <w:r>
        <w:rPr>
          <w:color w:val="4B4F4D"/>
        </w:rPr>
        <w:t>(the</w:t>
      </w:r>
      <w:r>
        <w:rPr>
          <w:color w:val="4B4F4D"/>
          <w:spacing w:val="-33"/>
        </w:rPr>
        <w:t> </w:t>
      </w:r>
      <w:r>
        <w:rPr>
          <w:color w:val="343836"/>
        </w:rPr>
        <w:t>Regulations).</w:t>
      </w:r>
    </w:p>
    <w:p>
      <w:pPr>
        <w:pStyle w:val="BodyText"/>
        <w:spacing w:before="3"/>
      </w:pPr>
    </w:p>
    <w:p>
      <w:pPr>
        <w:pStyle w:val="BodyText"/>
        <w:ind w:left="675" w:firstLine="3"/>
      </w:pPr>
      <w:r>
        <w:rPr>
          <w:color w:val="343836"/>
        </w:rPr>
        <w:t>The control captured items such as standard laser pointers and laser pens</w:t>
      </w:r>
      <w:r>
        <w:rPr>
          <w:color w:val="696B69"/>
        </w:rPr>
        <w:t>. </w:t>
      </w:r>
      <w:r>
        <w:rPr>
          <w:color w:val="343836"/>
        </w:rPr>
        <w:t>Additional devices have also been captured under the control such as laser sights</w:t>
      </w:r>
      <w:r>
        <w:rPr>
          <w:color w:val="696B69"/>
        </w:rPr>
        <w:t>, </w:t>
      </w:r>
      <w:r>
        <w:rPr>
          <w:color w:val="343836"/>
        </w:rPr>
        <w:t>laser medical devices and other laser devices able to be used in a similar manner to a pointer</w:t>
      </w:r>
      <w:r>
        <w:rPr>
          <w:color w:val="696B69"/>
        </w:rPr>
        <w:t>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676" w:right="272" w:firstLine="6"/>
      </w:pPr>
      <w:r>
        <w:rPr>
          <w:color w:val="343836"/>
        </w:rPr>
        <w:t>A review of the scope of the control has determined that the following items are not commonly known as laser pointers</w:t>
      </w:r>
      <w:r>
        <w:rPr>
          <w:color w:val="696B69"/>
        </w:rPr>
        <w:t>, </w:t>
      </w:r>
      <w:r>
        <w:rPr>
          <w:color w:val="343836"/>
        </w:rPr>
        <w:t>and are not subject to the control within Schedule 13 to the Regulations</w:t>
      </w:r>
      <w:r>
        <w:rPr>
          <w:color w:val="696B69"/>
        </w:rPr>
        <w:t>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1" w:right="0" w:hanging="362"/>
        <w:jc w:val="left"/>
        <w:rPr>
          <w:sz w:val="20"/>
        </w:rPr>
      </w:pPr>
      <w:r>
        <w:rPr>
          <w:color w:val="343836"/>
          <w:sz w:val="20"/>
        </w:rPr>
        <w:t>Laser sights (excluding those for use with items of</w:t>
      </w:r>
      <w:r>
        <w:rPr>
          <w:color w:val="343836"/>
          <w:spacing w:val="24"/>
          <w:sz w:val="20"/>
        </w:rPr>
        <w:t> </w:t>
      </w:r>
      <w:r>
        <w:rPr>
          <w:color w:val="343836"/>
          <w:sz w:val="20"/>
        </w:rPr>
        <w:t>warfare)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40" w:lineRule="auto" w:before="20" w:after="0"/>
        <w:ind w:left="1461" w:right="0" w:hanging="362"/>
        <w:jc w:val="left"/>
        <w:rPr>
          <w:sz w:val="20"/>
        </w:rPr>
      </w:pPr>
      <w:r>
        <w:rPr>
          <w:color w:val="343836"/>
          <w:sz w:val="20"/>
        </w:rPr>
        <w:t>Laser bore</w:t>
      </w:r>
      <w:r>
        <w:rPr>
          <w:color w:val="343836"/>
          <w:spacing w:val="27"/>
          <w:sz w:val="20"/>
        </w:rPr>
        <w:t> </w:t>
      </w:r>
      <w:r>
        <w:rPr>
          <w:color w:val="343836"/>
          <w:sz w:val="20"/>
        </w:rPr>
        <w:t>sighters</w:t>
      </w: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11" w:after="0"/>
        <w:ind w:left="1460" w:right="0" w:hanging="361"/>
        <w:jc w:val="left"/>
        <w:rPr>
          <w:sz w:val="20"/>
        </w:rPr>
      </w:pPr>
      <w:r>
        <w:rPr>
          <w:color w:val="343836"/>
          <w:sz w:val="20"/>
        </w:rPr>
        <w:t>Medical lasers (excluding those same in appearance to a laser pointer or</w:t>
      </w:r>
      <w:r>
        <w:rPr>
          <w:color w:val="343836"/>
          <w:spacing w:val="29"/>
          <w:sz w:val="20"/>
        </w:rPr>
        <w:t> </w:t>
      </w:r>
      <w:r>
        <w:rPr>
          <w:color w:val="343836"/>
          <w:sz w:val="20"/>
        </w:rPr>
        <w:t>pen)</w:t>
      </w:r>
    </w:p>
    <w:p>
      <w:pPr>
        <w:pStyle w:val="ListParagraph"/>
        <w:numPr>
          <w:ilvl w:val="0"/>
          <w:numId w:val="1"/>
        </w:numPr>
        <w:tabs>
          <w:tab w:pos="1456" w:val="left" w:leader="none"/>
          <w:tab w:pos="1457" w:val="left" w:leader="none"/>
        </w:tabs>
        <w:spacing w:line="240" w:lineRule="auto" w:before="15" w:after="0"/>
        <w:ind w:left="1457" w:right="0" w:hanging="357"/>
        <w:jc w:val="left"/>
        <w:rPr>
          <w:sz w:val="20"/>
        </w:rPr>
      </w:pPr>
      <w:r>
        <w:rPr>
          <w:color w:val="343836"/>
          <w:sz w:val="20"/>
        </w:rPr>
        <w:t>Surveying and construction lasers</w:t>
      </w:r>
      <w:r>
        <w:rPr>
          <w:color w:val="696B69"/>
          <w:sz w:val="20"/>
        </w:rPr>
        <w:t>, </w:t>
      </w:r>
      <w:r>
        <w:rPr>
          <w:color w:val="343836"/>
          <w:sz w:val="20"/>
        </w:rPr>
        <w:t>such as laser</w:t>
      </w:r>
      <w:r>
        <w:rPr>
          <w:color w:val="343836"/>
          <w:spacing w:val="10"/>
          <w:sz w:val="20"/>
        </w:rPr>
        <w:t> </w:t>
      </w:r>
      <w:r>
        <w:rPr>
          <w:color w:val="343836"/>
          <w:sz w:val="20"/>
        </w:rPr>
        <w:t>levellers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40" w:lineRule="auto" w:before="15" w:after="0"/>
        <w:ind w:left="1461" w:right="0" w:hanging="362"/>
        <w:jc w:val="left"/>
        <w:rPr>
          <w:sz w:val="20"/>
        </w:rPr>
      </w:pPr>
      <w:r>
        <w:rPr>
          <w:color w:val="343836"/>
          <w:sz w:val="20"/>
        </w:rPr>
        <w:t>Laser guns (excluding those captured as firearms or </w:t>
      </w:r>
      <w:r>
        <w:rPr>
          <w:color w:val="4B4F4D"/>
          <w:sz w:val="20"/>
        </w:rPr>
        <w:t>imitation</w:t>
      </w:r>
      <w:r>
        <w:rPr>
          <w:color w:val="4B4F4D"/>
          <w:spacing w:val="8"/>
          <w:sz w:val="20"/>
        </w:rPr>
        <w:t> </w:t>
      </w:r>
      <w:r>
        <w:rPr>
          <w:color w:val="343836"/>
          <w:sz w:val="20"/>
        </w:rPr>
        <w:t>firearms)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40" w:lineRule="auto" w:before="15" w:after="0"/>
        <w:ind w:left="1461" w:right="0" w:hanging="362"/>
        <w:jc w:val="left"/>
        <w:rPr>
          <w:sz w:val="20"/>
        </w:rPr>
      </w:pPr>
      <w:r>
        <w:rPr>
          <w:color w:val="343836"/>
          <w:sz w:val="20"/>
        </w:rPr>
        <w:t>Laser range</w:t>
      </w:r>
      <w:r>
        <w:rPr>
          <w:color w:val="343836"/>
          <w:spacing w:val="7"/>
          <w:sz w:val="20"/>
        </w:rPr>
        <w:t> </w:t>
      </w:r>
      <w:r>
        <w:rPr>
          <w:color w:val="343836"/>
          <w:sz w:val="20"/>
        </w:rPr>
        <w:t>finders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678"/>
      </w:pPr>
      <w:r>
        <w:rPr>
          <w:color w:val="343836"/>
        </w:rPr>
        <w:t>Lasers devices that are captured under the control include the following</w:t>
      </w:r>
      <w:r>
        <w:rPr>
          <w:color w:val="696B69"/>
        </w:rPr>
        <w:t>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1" w:right="0" w:hanging="362"/>
        <w:jc w:val="left"/>
        <w:rPr>
          <w:sz w:val="20"/>
        </w:rPr>
      </w:pPr>
      <w:r>
        <w:rPr>
          <w:color w:val="343836"/>
          <w:sz w:val="20"/>
        </w:rPr>
        <w:t>Laser</w:t>
      </w:r>
      <w:r>
        <w:rPr>
          <w:color w:val="343836"/>
          <w:spacing w:val="16"/>
          <w:sz w:val="20"/>
        </w:rPr>
        <w:t> </w:t>
      </w:r>
      <w:r>
        <w:rPr>
          <w:color w:val="343836"/>
          <w:sz w:val="20"/>
        </w:rPr>
        <w:t>pens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40" w:lineRule="auto" w:before="10" w:after="0"/>
        <w:ind w:left="1459" w:right="287" w:hanging="359"/>
        <w:jc w:val="left"/>
        <w:rPr>
          <w:sz w:val="20"/>
        </w:rPr>
      </w:pPr>
      <w:r>
        <w:rPr>
          <w:color w:val="343836"/>
          <w:sz w:val="20"/>
        </w:rPr>
        <w:t>Laser </w:t>
      </w:r>
      <w:r>
        <w:rPr>
          <w:color w:val="343836"/>
          <w:spacing w:val="-5"/>
          <w:sz w:val="20"/>
        </w:rPr>
        <w:t>pointers</w:t>
      </w:r>
      <w:r>
        <w:rPr>
          <w:color w:val="696B69"/>
          <w:spacing w:val="-5"/>
          <w:sz w:val="20"/>
        </w:rPr>
        <w:t>, </w:t>
      </w:r>
      <w:r>
        <w:rPr>
          <w:color w:val="4B4F4D"/>
          <w:sz w:val="20"/>
        </w:rPr>
        <w:t>including </w:t>
      </w:r>
      <w:r>
        <w:rPr>
          <w:color w:val="343836"/>
          <w:sz w:val="20"/>
        </w:rPr>
        <w:t>large scale laser pointers such as the Arctic</w:t>
      </w:r>
      <w:r>
        <w:rPr>
          <w:color w:val="696B69"/>
          <w:sz w:val="20"/>
        </w:rPr>
        <w:t>, </w:t>
      </w:r>
      <w:r>
        <w:rPr>
          <w:color w:val="343836"/>
          <w:spacing w:val="-5"/>
          <w:sz w:val="20"/>
        </w:rPr>
        <w:t>Lunar</w:t>
      </w:r>
      <w:r>
        <w:rPr>
          <w:color w:val="696B69"/>
          <w:spacing w:val="-5"/>
          <w:sz w:val="20"/>
        </w:rPr>
        <w:t>, </w:t>
      </w:r>
      <w:r>
        <w:rPr>
          <w:color w:val="343836"/>
          <w:sz w:val="20"/>
        </w:rPr>
        <w:t>Krypton and Inferno style laser pointers and similar</w:t>
      </w:r>
      <w:r>
        <w:rPr>
          <w:color w:val="343836"/>
          <w:spacing w:val="31"/>
          <w:sz w:val="20"/>
        </w:rPr>
        <w:t> </w:t>
      </w:r>
      <w:r>
        <w:rPr>
          <w:color w:val="343836"/>
          <w:sz w:val="20"/>
        </w:rPr>
        <w:t>items</w:t>
      </w:r>
    </w:p>
    <w:p>
      <w:pPr>
        <w:pStyle w:val="ListParagraph"/>
        <w:numPr>
          <w:ilvl w:val="0"/>
          <w:numId w:val="1"/>
        </w:numPr>
        <w:tabs>
          <w:tab w:pos="1459" w:val="left" w:leader="none"/>
          <w:tab w:pos="1460" w:val="left" w:leader="none"/>
        </w:tabs>
        <w:spacing w:line="240" w:lineRule="auto" w:before="16" w:after="0"/>
        <w:ind w:left="1459" w:right="0" w:hanging="360"/>
        <w:jc w:val="left"/>
        <w:rPr>
          <w:sz w:val="20"/>
        </w:rPr>
      </w:pPr>
      <w:r>
        <w:rPr>
          <w:color w:val="343836"/>
          <w:sz w:val="20"/>
        </w:rPr>
        <w:t>Flashlights or torches with a laser pointer</w:t>
      </w:r>
      <w:r>
        <w:rPr>
          <w:color w:val="343836"/>
          <w:spacing w:val="-35"/>
          <w:sz w:val="20"/>
        </w:rPr>
        <w:t> </w:t>
      </w:r>
      <w:r>
        <w:rPr>
          <w:color w:val="343836"/>
          <w:sz w:val="20"/>
        </w:rPr>
        <w:t>incorporated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40" w:lineRule="auto" w:before="10" w:after="0"/>
        <w:ind w:left="1461" w:right="0" w:hanging="362"/>
        <w:jc w:val="left"/>
        <w:rPr>
          <w:sz w:val="20"/>
        </w:rPr>
      </w:pPr>
      <w:r>
        <w:rPr>
          <w:color w:val="343836"/>
          <w:sz w:val="20"/>
        </w:rPr>
        <w:t>Other laser devices with the appearance of a standard laser pointer or laser</w:t>
      </w:r>
      <w:r>
        <w:rPr>
          <w:color w:val="343836"/>
          <w:spacing w:val="32"/>
          <w:sz w:val="20"/>
        </w:rPr>
        <w:t> </w:t>
      </w:r>
      <w:r>
        <w:rPr>
          <w:color w:val="343836"/>
          <w:sz w:val="20"/>
        </w:rPr>
        <w:t>pen</w:t>
      </w:r>
    </w:p>
    <w:p>
      <w:pPr>
        <w:pStyle w:val="BodyText"/>
        <w:spacing w:before="1"/>
      </w:pPr>
    </w:p>
    <w:p>
      <w:pPr>
        <w:pStyle w:val="BodyText"/>
        <w:ind w:left="684" w:right="991" w:hanging="3"/>
      </w:pPr>
      <w:r>
        <w:rPr>
          <w:color w:val="343836"/>
        </w:rPr>
        <w:t>Permission to import is required for all laser devices commonly known as laser pointers as described above</w:t>
      </w:r>
      <w:r>
        <w:rPr>
          <w:color w:val="696B69"/>
        </w:rPr>
        <w:t>.</w:t>
      </w:r>
    </w:p>
    <w:p>
      <w:pPr>
        <w:pStyle w:val="BodyText"/>
        <w:spacing w:before="2"/>
      </w:pPr>
    </w:p>
    <w:p>
      <w:pPr>
        <w:pStyle w:val="BodyText"/>
        <w:spacing w:after="7"/>
        <w:ind w:left="676" w:firstLine="7"/>
      </w:pPr>
      <w:r>
        <w:rPr>
          <w:color w:val="343836"/>
        </w:rPr>
        <w:t>Inquiries concerning this notice may be directed to Weapons </w:t>
      </w:r>
      <w:r>
        <w:rPr>
          <w:color w:val="343836"/>
          <w:sz w:val="19"/>
        </w:rPr>
        <w:t>&amp; </w:t>
      </w:r>
      <w:r>
        <w:rPr>
          <w:color w:val="343836"/>
        </w:rPr>
        <w:t>Strategic Goods via email at </w:t>
      </w:r>
      <w:hyperlink r:id="rId6">
        <w:r>
          <w:rPr>
            <w:color w:val="2A4F9E"/>
            <w:spacing w:val="-4"/>
            <w:u w:val="thick" w:color="2A4F9E"/>
          </w:rPr>
          <w:t>fwp@customs</w:t>
        </w:r>
        <w:r>
          <w:rPr>
            <w:color w:val="607BB5"/>
            <w:spacing w:val="-4"/>
            <w:u w:val="thick" w:color="2A4F9E"/>
          </w:rPr>
          <w:t>.</w:t>
        </w:r>
        <w:r>
          <w:rPr>
            <w:color w:val="2A4F9E"/>
            <w:spacing w:val="-4"/>
            <w:u w:val="thick" w:color="2A4F9E"/>
          </w:rPr>
          <w:t>gov</w:t>
        </w:r>
        <w:r>
          <w:rPr>
            <w:color w:val="607BB5"/>
            <w:spacing w:val="-4"/>
            <w:u w:val="thick" w:color="2A4F9E"/>
          </w:rPr>
          <w:t>.</w:t>
        </w:r>
        <w:r>
          <w:rPr>
            <w:color w:val="2A4F9E"/>
            <w:spacing w:val="-4"/>
            <w:u w:val="thick" w:color="2A4F9E"/>
          </w:rPr>
          <w:t>au</w:t>
        </w:r>
        <w:r>
          <w:rPr>
            <w:color w:val="2A4F9E"/>
            <w:spacing w:val="-4"/>
          </w:rPr>
          <w:t> </w:t>
        </w:r>
      </w:hyperlink>
      <w:r>
        <w:rPr>
          <w:color w:val="343836"/>
        </w:rPr>
        <w:t>or on telephone number (02) 6245 5478 or fax number (02) 6275</w:t>
      </w:r>
      <w:r>
        <w:rPr>
          <w:color w:val="343836"/>
          <w:spacing w:val="54"/>
        </w:rPr>
        <w:t> </w:t>
      </w:r>
      <w:r>
        <w:rPr>
          <w:color w:val="343836"/>
        </w:rPr>
        <w:t>6699.</w:t>
      </w:r>
    </w:p>
    <w:p>
      <w:pPr>
        <w:pStyle w:val="BodyText"/>
        <w:ind w:left="668"/>
      </w:pPr>
      <w:r>
        <w:rPr/>
        <w:drawing>
          <wp:inline distT="0" distB="0" distL="0" distR="0">
            <wp:extent cx="1450735" cy="5486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73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8"/>
        <w:ind w:left="682" w:right="6984" w:hanging="1"/>
      </w:pPr>
      <w:r>
        <w:rPr>
          <w:color w:val="343836"/>
        </w:rPr>
        <w:t>Geoff Johannes National Manager Trade Branch CANBERRA</w:t>
      </w:r>
      <w:r>
        <w:rPr>
          <w:color w:val="343836"/>
          <w:spacing w:val="47"/>
        </w:rPr>
        <w:t> </w:t>
      </w:r>
      <w:r>
        <w:rPr>
          <w:color w:val="343836"/>
        </w:rPr>
        <w:t>ACT</w:t>
      </w:r>
    </w:p>
    <w:p>
      <w:pPr>
        <w:pStyle w:val="BodyText"/>
        <w:spacing w:line="396" w:lineRule="exact"/>
        <w:ind w:left="1056"/>
      </w:pPr>
      <w:r>
        <w:rPr>
          <w:b/>
          <w:color w:val="4948CA"/>
          <w:sz w:val="38"/>
        </w:rPr>
        <w:t>J </w:t>
      </w:r>
      <w:r>
        <w:rPr>
          <w:color w:val="343836"/>
        </w:rPr>
        <w:t>April</w:t>
      </w:r>
      <w:r>
        <w:rPr>
          <w:color w:val="343836"/>
          <w:spacing w:val="22"/>
        </w:rPr>
        <w:t> </w:t>
      </w:r>
      <w:r>
        <w:rPr>
          <w:color w:val="343836"/>
        </w:rPr>
        <w:t>2014</w:t>
      </w:r>
    </w:p>
    <w:p>
      <w:pPr>
        <w:pStyle w:val="BodyText"/>
        <w:spacing w:before="1"/>
        <w:rPr>
          <w:sz w:val="61"/>
        </w:rPr>
      </w:pPr>
    </w:p>
    <w:p>
      <w:pPr>
        <w:spacing w:before="0"/>
        <w:ind w:left="4170" w:right="3595" w:firstLine="0"/>
        <w:jc w:val="center"/>
        <w:rPr>
          <w:b/>
          <w:sz w:val="19"/>
        </w:rPr>
      </w:pPr>
      <w:r>
        <w:rPr>
          <w:b/>
          <w:color w:val="D82D2D"/>
          <w:w w:val="105"/>
          <w:sz w:val="19"/>
        </w:rPr>
        <w:t>UNCLASSIFIED</w:t>
      </w:r>
    </w:p>
    <w:sectPr>
      <w:type w:val="continuous"/>
      <w:pgSz w:w="11900" w:h="16840"/>
      <w:pgMar w:top="400" w:bottom="0" w:left="10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59" w:hanging="362"/>
      </w:pPr>
      <w:rPr>
        <w:rFonts w:hint="default" w:ascii="Arial" w:hAnsi="Arial" w:eastAsia="Arial" w:cs="Arial"/>
        <w:color w:val="343836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2244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8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2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8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2" w:hanging="3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18"/>
      <w:ind w:left="1598" w:hanging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15"/>
      <w:ind w:left="1461" w:hanging="36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fwp@customs.gov.au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2020-12-09T23:20:18Z</dcterms:created>
  <dcterms:modified xsi:type="dcterms:W3CDTF">2020-12-09T23:20:18Z</dcterms:modified>
</cp:coreProperties>
</file>