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2014/18</w:t>
      </w:r>
    </w:p>
    <w:p>
      <w:pPr>
        <w:pStyle w:val="Title"/>
      </w:pPr>
      <w:r>
        <w:rPr/>
        <w:t>Applications for Customs Broker Licence</w:t>
      </w:r>
    </w:p>
    <w:p>
      <w:pPr>
        <w:pStyle w:val="BodyText"/>
        <w:spacing w:before="2"/>
        <w:rPr>
          <w:b/>
          <w:sz w:val="25"/>
        </w:rPr>
      </w:pPr>
    </w:p>
    <w:p>
      <w:pPr>
        <w:pStyle w:val="BodyText"/>
        <w:spacing w:line="235" w:lineRule="auto"/>
        <w:ind w:left="1519" w:right="2094"/>
      </w:pPr>
      <w:r>
        <w:rPr/>
        <w:t>The following company and individuals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2530" w:hRule="atLeast"/>
        </w:trPr>
        <w:tc>
          <w:tcPr>
            <w:tcW w:w="4600" w:type="dxa"/>
          </w:tcPr>
          <w:p>
            <w:pPr>
              <w:pStyle w:val="TableParagraph"/>
              <w:spacing w:line="220" w:lineRule="exact"/>
              <w:rPr>
                <w:b/>
                <w:sz w:val="20"/>
              </w:rPr>
            </w:pPr>
            <w:r>
              <w:rPr>
                <w:b/>
                <w:sz w:val="20"/>
                <w:u w:val="single"/>
              </w:rPr>
              <w:t>COMPANY</w:t>
            </w:r>
          </w:p>
          <w:p>
            <w:pPr>
              <w:pStyle w:val="TableParagraph"/>
              <w:spacing w:before="6"/>
              <w:ind w:right="2039"/>
              <w:rPr>
                <w:sz w:val="20"/>
              </w:rPr>
            </w:pPr>
            <w:r>
              <w:rPr>
                <w:sz w:val="20"/>
              </w:rPr>
              <w:t>Focus Customs Pty </w:t>
            </w:r>
            <w:r>
              <w:rPr>
                <w:spacing w:val="-6"/>
                <w:sz w:val="20"/>
              </w:rPr>
              <w:t>Ltd </w:t>
            </w:r>
            <w:r>
              <w:rPr>
                <w:sz w:val="20"/>
              </w:rPr>
              <w:t>ABN 73 168 248</w:t>
            </w:r>
            <w:r>
              <w:rPr>
                <w:spacing w:val="-1"/>
                <w:sz w:val="20"/>
              </w:rPr>
              <w:t> </w:t>
            </w:r>
            <w:r>
              <w:rPr>
                <w:sz w:val="20"/>
              </w:rPr>
              <w:t>066</w:t>
            </w:r>
          </w:p>
          <w:p>
            <w:pPr>
              <w:pStyle w:val="TableParagraph"/>
              <w:ind w:right="2039"/>
              <w:rPr>
                <w:sz w:val="20"/>
              </w:rPr>
            </w:pPr>
            <w:r>
              <w:rPr>
                <w:sz w:val="20"/>
              </w:rPr>
              <w:t>4/122 Mercury </w:t>
            </w:r>
            <w:r>
              <w:rPr>
                <w:spacing w:val="-3"/>
                <w:sz w:val="20"/>
              </w:rPr>
              <w:t>Street, </w:t>
            </w:r>
            <w:r>
              <w:rPr>
                <w:sz w:val="20"/>
              </w:rPr>
              <w:t>KEWDALE </w:t>
            </w:r>
            <w:r>
              <w:rPr>
                <w:spacing w:val="3"/>
                <w:sz w:val="20"/>
              </w:rPr>
              <w:t>WA</w:t>
            </w:r>
            <w:r>
              <w:rPr>
                <w:spacing w:val="-9"/>
                <w:sz w:val="20"/>
              </w:rPr>
              <w:t> </w:t>
            </w:r>
            <w:r>
              <w:rPr>
                <w:sz w:val="20"/>
              </w:rPr>
              <w:t>6105</w:t>
            </w:r>
          </w:p>
          <w:p>
            <w:pPr>
              <w:pStyle w:val="TableParagraph"/>
              <w:spacing w:before="8"/>
              <w:ind w:left="0"/>
              <w:rPr>
                <w:sz w:val="19"/>
              </w:rPr>
            </w:pPr>
          </w:p>
          <w:p>
            <w:pPr>
              <w:pStyle w:val="TableParagraph"/>
              <w:rPr>
                <w:b/>
                <w:sz w:val="20"/>
              </w:rPr>
            </w:pPr>
            <w:r>
              <w:rPr>
                <w:b/>
                <w:sz w:val="20"/>
              </w:rPr>
              <w:t>Person in</w:t>
            </w:r>
            <w:r>
              <w:rPr>
                <w:b/>
                <w:spacing w:val="-4"/>
                <w:sz w:val="20"/>
              </w:rPr>
              <w:t> </w:t>
            </w:r>
            <w:r>
              <w:rPr>
                <w:b/>
                <w:sz w:val="20"/>
              </w:rPr>
              <w:t>Authority</w:t>
            </w:r>
          </w:p>
          <w:p>
            <w:pPr>
              <w:pStyle w:val="TableParagraph"/>
              <w:spacing w:before="6"/>
              <w:rPr>
                <w:sz w:val="20"/>
              </w:rPr>
            </w:pPr>
            <w:r>
              <w:rPr>
                <w:sz w:val="20"/>
              </w:rPr>
              <w:t>SINCLAIR, Robert Bruce</w:t>
            </w:r>
          </w:p>
          <w:p>
            <w:pPr>
              <w:pStyle w:val="TableParagraph"/>
              <w:spacing w:before="7"/>
              <w:ind w:left="0"/>
              <w:rPr>
                <w:sz w:val="19"/>
              </w:rPr>
            </w:pPr>
          </w:p>
          <w:p>
            <w:pPr>
              <w:pStyle w:val="TableParagraph"/>
              <w:rPr>
                <w:b/>
                <w:sz w:val="20"/>
              </w:rPr>
            </w:pPr>
            <w:r>
              <w:rPr>
                <w:b/>
                <w:sz w:val="20"/>
              </w:rPr>
              <w:t>Nominee Broker</w:t>
            </w:r>
          </w:p>
          <w:p>
            <w:pPr>
              <w:pStyle w:val="TableParagraph"/>
              <w:spacing w:line="211" w:lineRule="exact" w:before="6"/>
              <w:rPr>
                <w:sz w:val="20"/>
              </w:rPr>
            </w:pPr>
            <w:r>
              <w:rPr>
                <w:sz w:val="20"/>
              </w:rPr>
              <w:t>SINCLAIR, Robert Bruce</w:t>
            </w:r>
          </w:p>
        </w:tc>
        <w:tc>
          <w:tcPr>
            <w:tcW w:w="4528" w:type="dxa"/>
          </w:tcPr>
          <w:p>
            <w:pPr>
              <w:pStyle w:val="TableParagraph"/>
              <w:spacing w:line="220" w:lineRule="exact"/>
              <w:rPr>
                <w:b/>
                <w:sz w:val="20"/>
              </w:rPr>
            </w:pPr>
            <w:r>
              <w:rPr>
                <w:b/>
                <w:sz w:val="20"/>
                <w:u w:val="single"/>
              </w:rPr>
              <w:t>INDIVIDUAL</w:t>
            </w:r>
          </w:p>
          <w:p>
            <w:pPr>
              <w:pStyle w:val="TableParagraph"/>
              <w:spacing w:before="6"/>
              <w:rPr>
                <w:sz w:val="20"/>
              </w:rPr>
            </w:pPr>
            <w:r>
              <w:rPr>
                <w:sz w:val="20"/>
              </w:rPr>
              <w:t>SMITH, Stephanie Ann June Myra</w:t>
            </w:r>
          </w:p>
          <w:p>
            <w:pPr>
              <w:pStyle w:val="TableParagraph"/>
              <w:spacing w:before="7"/>
              <w:ind w:left="0"/>
              <w:rPr>
                <w:sz w:val="19"/>
              </w:rPr>
            </w:pPr>
          </w:p>
          <w:p>
            <w:pPr>
              <w:pStyle w:val="TableParagraph"/>
              <w:rPr>
                <w:b/>
                <w:sz w:val="20"/>
              </w:rPr>
            </w:pPr>
            <w:r>
              <w:rPr>
                <w:b/>
                <w:sz w:val="20"/>
                <w:u w:val="single"/>
              </w:rPr>
              <w:t>SOLE TRADER</w:t>
            </w:r>
          </w:p>
          <w:p>
            <w:pPr>
              <w:pStyle w:val="TableParagraph"/>
              <w:spacing w:before="5"/>
              <w:rPr>
                <w:sz w:val="20"/>
              </w:rPr>
            </w:pPr>
            <w:r>
              <w:rPr>
                <w:sz w:val="20"/>
              </w:rPr>
              <w:t>MILNE, Christopher Alexander</w:t>
            </w:r>
          </w:p>
        </w:tc>
      </w:tr>
    </w:tbl>
    <w:p>
      <w:pPr>
        <w:pStyle w:val="BodyText"/>
        <w:spacing w:before="6"/>
        <w:rPr>
          <w:sz w:val="19"/>
        </w:rPr>
      </w:pPr>
    </w:p>
    <w:p>
      <w:pPr>
        <w:pStyle w:val="BodyText"/>
        <w:ind w:left="1519" w:right="1466"/>
      </w:pPr>
      <w:r>
        <w:rPr/>
        <w:t>Any person wishing to make written representation in respect of an application should address the correspondence by Monday 5 May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6" w:hRule="atLeast"/>
        </w:trPr>
        <w:tc>
          <w:tcPr>
            <w:tcW w:w="3772" w:type="dxa"/>
          </w:tcPr>
          <w:p>
            <w:pPr>
              <w:pStyle w:val="TableParagraph"/>
              <w:spacing w:line="225" w:lineRule="exact"/>
              <w:ind w:left="200"/>
              <w:rPr>
                <w:sz w:val="20"/>
              </w:rPr>
            </w:pPr>
            <w:r>
              <w:rPr>
                <w:sz w:val="20"/>
              </w:rPr>
              <w:t>Broker Licensing</w:t>
            </w:r>
          </w:p>
          <w:p>
            <w:pPr>
              <w:pStyle w:val="TableParagraph"/>
              <w:ind w:left="200" w:right="772"/>
              <w:rPr>
                <w:sz w:val="20"/>
              </w:rPr>
            </w:pPr>
            <w:r>
              <w:rPr>
                <w:sz w:val="20"/>
              </w:rPr>
              <w:t>Australian Customs and Border Protection Service</w:t>
            </w:r>
          </w:p>
          <w:p>
            <w:pPr>
              <w:pStyle w:val="TableParagraph"/>
              <w:spacing w:before="1"/>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8"/>
        <w:ind w:left="1519" w:right="1992"/>
      </w:pPr>
      <w:r>
        <w:rPr/>
        <w:t>The applicant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1"/>
        <w:ind w:left="1519" w:right="8919"/>
      </w:pPr>
      <w:r>
        <w:rPr/>
        <w:t>John Arndell Director</w:t>
      </w:r>
    </w:p>
    <w:p>
      <w:pPr>
        <w:pStyle w:val="BodyText"/>
        <w:spacing w:line="235" w:lineRule="auto" w:before="5"/>
        <w:ind w:left="1519" w:right="5961"/>
      </w:pPr>
      <w:r>
        <w:rPr/>
        <w:t>Cargo Reporting Policy and Licensing Section CANBERRA ACT</w:t>
      </w:r>
    </w:p>
    <w:p>
      <w:pPr>
        <w:pStyle w:val="BodyText"/>
        <w:spacing w:line="227" w:lineRule="exact"/>
        <w:ind w:left="1519"/>
      </w:pPr>
      <w:r>
        <w:rPr/>
        <w:t>22 April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9"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2020-12-09T22:18:06Z</dcterms:created>
  <dcterms:modified xsi:type="dcterms:W3CDTF">2020-12-09T22:18:06Z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LastSaved">
    <vt:filetime>2020-12-09T00:00:00Z</vt:filetime>
  </property>
</Properties>
</file>