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Title"/>
        <w:ind w:left="4978"/>
      </w:pPr>
      <w:r>
        <w:rPr/>
        <w:pict>
          <v:rect style="position:absolute;margin-left:83.664001pt;margin-top:37.961834pt;width:428.11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2014/27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Title"/>
        <w:spacing w:before="92"/>
        <w:ind w:right="1843" w:firstLine="0"/>
      </w:pPr>
      <w:r>
        <w:rPr/>
        <w:t>1 July 2014 changes to the Product Stewardship for Oil (PSO) scheme, the gaseous fuels arrangements and the carbon component rate on aviation fuel.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439" w:lineRule="auto"/>
        <w:ind w:left="1522" w:right="1651"/>
      </w:pPr>
      <w:r>
        <w:rPr/>
        <w:t>This Notice summarises Customs Tariff changes that will occur on 1 July 2014. </w:t>
      </w:r>
      <w:r>
        <w:rPr>
          <w:u w:val="single"/>
        </w:rPr>
        <w:t>Changes to PSO scheme</w:t>
      </w:r>
    </w:p>
    <w:p>
      <w:pPr>
        <w:spacing w:line="240" w:lineRule="auto" w:before="46"/>
        <w:ind w:left="1522" w:right="1585" w:firstLine="0"/>
        <w:jc w:val="left"/>
        <w:rPr>
          <w:sz w:val="24"/>
        </w:rPr>
      </w:pPr>
      <w:r>
        <w:rPr>
          <w:sz w:val="24"/>
        </w:rPr>
        <w:t>The </w:t>
      </w:r>
      <w:r>
        <w:rPr>
          <w:i/>
          <w:sz w:val="24"/>
        </w:rPr>
        <w:t>Customs Tariff Amendment (Product Stewardship for Oil) Act 2014 </w:t>
      </w:r>
      <w:r>
        <w:rPr>
          <w:sz w:val="24"/>
        </w:rPr>
        <w:t>was passed in the Parliament on 18 June 2014. From 1 July 2014 the rate of the levy payable under the PSO scheme for new and recycled petroleum based oils and greases and their synthetic equivalents will increase from 5.449 cents</w:t>
      </w:r>
      <w:r>
        <w:rPr>
          <w:spacing w:val="-16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before="2"/>
        <w:ind w:left="1522"/>
      </w:pPr>
      <w:r>
        <w:rPr/>
        <w:t>8.5 cents per litre of oil or kilogram of grease.</w:t>
      </w:r>
    </w:p>
    <w:p>
      <w:pPr>
        <w:pStyle w:val="BodyText"/>
        <w:spacing w:before="5"/>
      </w:pPr>
    </w:p>
    <w:tbl>
      <w:tblPr>
        <w:tblW w:w="0" w:type="auto"/>
        <w:jc w:val="left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2181"/>
        <w:gridCol w:w="2071"/>
        <w:gridCol w:w="1985"/>
      </w:tblGrid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Goods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Tariff</w:t>
            </w:r>
          </w:p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Classification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Duty rate from</w:t>
            </w:r>
          </w:p>
          <w:p>
            <w:pPr>
              <w:pStyle w:val="TableParagraph"/>
              <w:spacing w:line="23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July 2013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New duty rate</w:t>
            </w:r>
          </w:p>
          <w:p>
            <w:pPr>
              <w:pStyle w:val="TableParagraph"/>
              <w:spacing w:line="23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from 1 July 2014</w:t>
            </w:r>
          </w:p>
        </w:tc>
      </w:tr>
      <w:tr>
        <w:trPr>
          <w:trHeight w:val="1010" w:hRule="atLeast"/>
        </w:trPr>
        <w:tc>
          <w:tcPr>
            <w:tcW w:w="2518" w:type="dxa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 Bituminous Minerals,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Other than Crude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2710.19.91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1012" w:hRule="atLeast"/>
        </w:trPr>
        <w:tc>
          <w:tcPr>
            <w:tcW w:w="2518" w:type="dxa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 Bituminous Minerals,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Other than Crude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2710.19.92</w:t>
            </w:r>
          </w:p>
        </w:tc>
        <w:tc>
          <w:tcPr>
            <w:tcW w:w="207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1012" w:hRule="atLeast"/>
        </w:trPr>
        <w:tc>
          <w:tcPr>
            <w:tcW w:w="2518" w:type="dxa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 Bituminous Minerals,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Other than Crude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2710.91.91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1012" w:hRule="atLeast"/>
        </w:trPr>
        <w:tc>
          <w:tcPr>
            <w:tcW w:w="2518" w:type="dxa"/>
          </w:tcPr>
          <w:p>
            <w:pPr>
              <w:pStyle w:val="TableParagraph"/>
              <w:spacing w:line="242" w:lineRule="auto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</w:t>
            </w:r>
          </w:p>
          <w:p>
            <w:pPr>
              <w:pStyle w:val="TableParagraph"/>
              <w:spacing w:line="252" w:lineRule="exact"/>
              <w:ind w:right="339"/>
              <w:rPr>
                <w:sz w:val="22"/>
              </w:rPr>
            </w:pPr>
            <w:r>
              <w:rPr>
                <w:sz w:val="22"/>
              </w:rPr>
              <w:t>Bituminous Minerals, Other than Crude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2710.91.92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1009" w:hRule="atLeast"/>
        </w:trPr>
        <w:tc>
          <w:tcPr>
            <w:tcW w:w="2518" w:type="dxa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</w:t>
            </w:r>
          </w:p>
          <w:p>
            <w:pPr>
              <w:pStyle w:val="TableParagraph"/>
              <w:spacing w:line="252" w:lineRule="exact"/>
              <w:ind w:right="339"/>
              <w:rPr>
                <w:sz w:val="22"/>
              </w:rPr>
            </w:pPr>
            <w:r>
              <w:rPr>
                <w:sz w:val="22"/>
              </w:rPr>
              <w:t>Bituminous Minerals, Other than Crude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2710.99.91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1009" w:hRule="atLeast"/>
        </w:trPr>
        <w:tc>
          <w:tcPr>
            <w:tcW w:w="2518" w:type="dxa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z w:val="22"/>
              </w:rPr>
              <w:t>Petroleum Oils and Oils obtained from</w:t>
            </w:r>
          </w:p>
          <w:p>
            <w:pPr>
              <w:pStyle w:val="TableParagraph"/>
              <w:spacing w:line="252" w:lineRule="exact" w:before="2"/>
              <w:ind w:right="339"/>
              <w:rPr>
                <w:sz w:val="22"/>
              </w:rPr>
            </w:pPr>
            <w:r>
              <w:rPr>
                <w:sz w:val="22"/>
              </w:rPr>
              <w:t>Bituminous Minerals, Other than Crude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2710.99.92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</w:tbl>
    <w:p>
      <w:pPr>
        <w:spacing w:after="0" w:line="250" w:lineRule="exact"/>
        <w:rPr>
          <w:sz w:val="22"/>
        </w:rPr>
        <w:sectPr>
          <w:type w:val="continuous"/>
          <w:pgSz w:w="11910" w:h="16840"/>
          <w:pgMar w:top="1120" w:bottom="280" w:left="180" w:right="160"/>
        </w:sectPr>
      </w:pPr>
    </w:p>
    <w:tbl>
      <w:tblPr>
        <w:tblW w:w="0" w:type="auto"/>
        <w:jc w:val="left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2181"/>
        <w:gridCol w:w="2071"/>
        <w:gridCol w:w="1985"/>
      </w:tblGrid>
      <w:tr>
        <w:trPr>
          <w:trHeight w:val="503" w:hRule="atLeast"/>
        </w:trPr>
        <w:tc>
          <w:tcPr>
            <w:tcW w:w="25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Goods</w:t>
            </w:r>
          </w:p>
        </w:tc>
        <w:tc>
          <w:tcPr>
            <w:tcW w:w="2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Tariff</w:t>
            </w:r>
          </w:p>
          <w:p>
            <w:pPr>
              <w:pStyle w:val="TableParagraph"/>
              <w:spacing w:line="234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Classification</w:t>
            </w:r>
          </w:p>
        </w:tc>
        <w:tc>
          <w:tcPr>
            <w:tcW w:w="20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Duty rate from</w:t>
            </w:r>
          </w:p>
          <w:p>
            <w:pPr>
              <w:pStyle w:val="TableParagraph"/>
              <w:spacing w:line="234" w:lineRule="exact"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July 2013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New duty rate</w:t>
            </w:r>
          </w:p>
          <w:p>
            <w:pPr>
              <w:pStyle w:val="TableParagraph"/>
              <w:spacing w:line="234" w:lineRule="exact" w:before="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from 1 July 2014</w:t>
            </w:r>
          </w:p>
        </w:tc>
      </w:tr>
      <w:tr>
        <w:trPr>
          <w:trHeight w:val="503" w:hRule="atLeast"/>
        </w:trPr>
        <w:tc>
          <w:tcPr>
            <w:tcW w:w="25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3403.11.10</w:t>
            </w:r>
          </w:p>
        </w:tc>
        <w:tc>
          <w:tcPr>
            <w:tcW w:w="20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4" w:lineRule="exact"/>
              <w:ind w:right="1133"/>
              <w:rPr>
                <w:sz w:val="22"/>
              </w:rPr>
            </w:pPr>
            <w:r>
              <w:rPr>
                <w:sz w:val="22"/>
              </w:rPr>
              <w:t>Lubricating 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3403.11.90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504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3403.19.10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4" w:lineRule="exact"/>
              <w:ind w:right="1133"/>
              <w:rPr>
                <w:sz w:val="22"/>
              </w:rPr>
            </w:pPr>
            <w:r>
              <w:rPr>
                <w:sz w:val="22"/>
              </w:rPr>
              <w:t>Lubricating 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3403.19.90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503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3403.91.10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4" w:lineRule="exact"/>
              <w:ind w:right="1133"/>
              <w:rPr>
                <w:sz w:val="22"/>
              </w:rPr>
            </w:pPr>
            <w:r>
              <w:rPr>
                <w:sz w:val="22"/>
              </w:rPr>
              <w:t>Lubricating 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3403.91.90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504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3403.99.10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506" w:hRule="atLeast"/>
        </w:trPr>
        <w:tc>
          <w:tcPr>
            <w:tcW w:w="2518" w:type="dxa"/>
          </w:tcPr>
          <w:p>
            <w:pPr>
              <w:pStyle w:val="TableParagraph"/>
              <w:spacing w:line="254" w:lineRule="exact" w:before="1"/>
              <w:ind w:right="1133"/>
              <w:rPr>
                <w:sz w:val="22"/>
              </w:rPr>
            </w:pPr>
            <w:r>
              <w:rPr>
                <w:sz w:val="22"/>
              </w:rPr>
              <w:t>Lubricating 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3403.99.90</w:t>
            </w:r>
          </w:p>
        </w:tc>
        <w:tc>
          <w:tcPr>
            <w:tcW w:w="2071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504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3811.21.10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$0.05449/KG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$0.085/KG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4" w:lineRule="exact"/>
              <w:ind w:right="1133"/>
              <w:rPr>
                <w:sz w:val="22"/>
              </w:rPr>
            </w:pPr>
            <w:r>
              <w:rPr>
                <w:sz w:val="22"/>
              </w:rPr>
              <w:t>Lubricating 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3811.21.90</w:t>
            </w:r>
          </w:p>
        </w:tc>
        <w:tc>
          <w:tcPr>
            <w:tcW w:w="2071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$0.085/L</w:t>
            </w:r>
          </w:p>
        </w:tc>
      </w:tr>
      <w:tr>
        <w:trPr>
          <w:trHeight w:val="504" w:hRule="atLeast"/>
        </w:trPr>
        <w:tc>
          <w:tcPr>
            <w:tcW w:w="251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Lubricating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Preparations</w:t>
            </w:r>
          </w:p>
        </w:tc>
        <w:tc>
          <w:tcPr>
            <w:tcW w:w="218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3819.00.00</w:t>
            </w:r>
          </w:p>
        </w:tc>
        <w:tc>
          <w:tcPr>
            <w:tcW w:w="207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5%, and 0.05449/L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5%, and $0.085/L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2"/>
        <w:ind w:left="1522" w:right="1823"/>
        <w:jc w:val="both"/>
      </w:pPr>
      <w:r>
        <w:rPr/>
        <w:t>Note: the same rate changes will take effect on 1 July 2014 on corresponding items in schedule 4 and corresponding Free Trade Agreement table items set out in Schedules 5, 6, 7, 8, and 9 of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</w:pPr>
    </w:p>
    <w:p>
      <w:pPr>
        <w:pStyle w:val="BodyText"/>
        <w:ind w:left="1522"/>
        <w:jc w:val="both"/>
      </w:pPr>
      <w:r>
        <w:rPr>
          <w:u w:val="single"/>
        </w:rPr>
        <w:t>Changes to transport gaseous fuels arrangements</w:t>
      </w:r>
    </w:p>
    <w:p>
      <w:pPr>
        <w:pStyle w:val="BodyText"/>
        <w:rPr>
          <w:sz w:val="16"/>
        </w:rPr>
      </w:pPr>
    </w:p>
    <w:p>
      <w:pPr>
        <w:pStyle w:val="BodyText"/>
        <w:spacing w:before="93"/>
        <w:ind w:left="1522" w:right="1676"/>
      </w:pPr>
      <w:r>
        <w:rPr/>
        <w:t>The excise-equivalent duty rates currently set for LPG, LNG and CNG used for transport purposes will increase from 1 July 2014. The table below sets out the current excise equivalent duty rate, as well as the rate changes set to begin next month.</w:t>
      </w:r>
    </w:p>
    <w:p>
      <w:pPr>
        <w:pStyle w:val="BodyText"/>
        <w:spacing w:before="4"/>
      </w:pPr>
    </w:p>
    <w:tbl>
      <w:tblPr>
        <w:tblW w:w="0" w:type="auto"/>
        <w:jc w:val="left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2182"/>
        <w:gridCol w:w="2179"/>
        <w:gridCol w:w="2179"/>
      </w:tblGrid>
      <w:tr>
        <w:trPr>
          <w:trHeight w:val="505" w:hRule="atLeast"/>
        </w:trPr>
        <w:tc>
          <w:tcPr>
            <w:tcW w:w="2179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Goods</w:t>
            </w:r>
          </w:p>
        </w:tc>
        <w:tc>
          <w:tcPr>
            <w:tcW w:w="2182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Tariff</w:t>
            </w:r>
          </w:p>
          <w:p>
            <w:pPr>
              <w:pStyle w:val="TableParagraph"/>
              <w:spacing w:line="237" w:lineRule="exact"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Classification</w:t>
            </w:r>
          </w:p>
        </w:tc>
        <w:tc>
          <w:tcPr>
            <w:tcW w:w="2179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Duty rate from</w:t>
            </w:r>
          </w:p>
          <w:p>
            <w:pPr>
              <w:pStyle w:val="TableParagraph"/>
              <w:spacing w:line="237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July 2013</w:t>
            </w:r>
          </w:p>
        </w:tc>
        <w:tc>
          <w:tcPr>
            <w:tcW w:w="2179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New duty rate</w:t>
            </w:r>
          </w:p>
          <w:p>
            <w:pPr>
              <w:pStyle w:val="TableParagraph"/>
              <w:spacing w:line="237" w:lineRule="exact"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from 1 July 2014</w:t>
            </w:r>
          </w:p>
        </w:tc>
      </w:tr>
      <w:tr>
        <w:trPr>
          <w:trHeight w:val="506" w:hRule="atLeast"/>
        </w:trPr>
        <w:tc>
          <w:tcPr>
            <w:tcW w:w="2179" w:type="dxa"/>
          </w:tcPr>
          <w:p>
            <w:pPr>
              <w:pStyle w:val="TableParagraph"/>
              <w:spacing w:line="254" w:lineRule="exact"/>
              <w:ind w:right="378"/>
              <w:rPr>
                <w:sz w:val="22"/>
              </w:rPr>
            </w:pPr>
            <w:r>
              <w:rPr>
                <w:sz w:val="22"/>
              </w:rPr>
              <w:t>Liquefied Natural Gas (LNG)</w:t>
            </w:r>
          </w:p>
        </w:tc>
        <w:tc>
          <w:tcPr>
            <w:tcW w:w="2182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2711.11.00</w:t>
            </w:r>
          </w:p>
        </w:tc>
        <w:tc>
          <w:tcPr>
            <w:tcW w:w="2179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$0.1567/kg</w:t>
            </w:r>
          </w:p>
        </w:tc>
        <w:tc>
          <w:tcPr>
            <w:tcW w:w="2179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$0.209/kg</w:t>
            </w:r>
          </w:p>
        </w:tc>
      </w:tr>
      <w:tr>
        <w:trPr>
          <w:trHeight w:val="504" w:hRule="atLeast"/>
        </w:trPr>
        <w:tc>
          <w:tcPr>
            <w:tcW w:w="217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Liquefied Petroleum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Gas (LPG)</w:t>
            </w:r>
          </w:p>
        </w:tc>
        <w:tc>
          <w:tcPr>
            <w:tcW w:w="2182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2711.12.10</w:t>
            </w:r>
          </w:p>
          <w:p>
            <w:pPr>
              <w:pStyle w:val="TableParagraph"/>
              <w:spacing w:line="234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2711.13.10</w:t>
            </w:r>
          </w:p>
        </w:tc>
        <w:tc>
          <w:tcPr>
            <w:tcW w:w="2179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$0.075/L</w:t>
            </w:r>
          </w:p>
        </w:tc>
        <w:tc>
          <w:tcPr>
            <w:tcW w:w="2179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$0.10/L</w:t>
            </w:r>
          </w:p>
        </w:tc>
      </w:tr>
      <w:tr>
        <w:trPr>
          <w:trHeight w:val="505" w:hRule="atLeast"/>
        </w:trPr>
        <w:tc>
          <w:tcPr>
            <w:tcW w:w="2179" w:type="dxa"/>
          </w:tcPr>
          <w:p>
            <w:pPr>
              <w:pStyle w:val="TableParagraph"/>
              <w:spacing w:line="254" w:lineRule="exact"/>
              <w:ind w:right="171"/>
              <w:rPr>
                <w:sz w:val="22"/>
              </w:rPr>
            </w:pPr>
            <w:r>
              <w:rPr>
                <w:sz w:val="22"/>
              </w:rPr>
              <w:t>Compressed Natural Gas (CNG)</w:t>
            </w:r>
          </w:p>
        </w:tc>
        <w:tc>
          <w:tcPr>
            <w:tcW w:w="2182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2711.21.10</w:t>
            </w:r>
          </w:p>
        </w:tc>
        <w:tc>
          <w:tcPr>
            <w:tcW w:w="2179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$0.1567/kg</w:t>
            </w:r>
          </w:p>
        </w:tc>
        <w:tc>
          <w:tcPr>
            <w:tcW w:w="2179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$0.209/kg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522" w:right="1930"/>
      </w:pPr>
      <w:r>
        <w:rPr/>
        <w:t>Automatic remissions on excise equivalent duty will still be available for LPG and LNG for non-transport use.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22"/>
      </w:pPr>
      <w:r>
        <w:rPr>
          <w:u w:val="single"/>
        </w:rPr>
        <w:t>Carbon component rate change on aviation fuel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1522" w:right="1617"/>
      </w:pPr>
      <w:r>
        <w:rPr/>
        <w:t>The Australian Government is proposing to remove the carbon charge for imported aviation fuel from 1 July 2014. If passed, the proposed legislation will</w:t>
      </w:r>
    </w:p>
    <w:p>
      <w:pPr>
        <w:spacing w:after="0"/>
        <w:sectPr>
          <w:footerReference w:type="default" r:id="rId6"/>
          <w:pgSz w:w="11910" w:h="16840"/>
          <w:pgMar w:footer="821" w:header="0" w:top="1340" w:bottom="1020" w:left="180" w:right="160"/>
          <w:pgNumType w:start="2"/>
        </w:sectPr>
      </w:pPr>
    </w:p>
    <w:p>
      <w:pPr>
        <w:pStyle w:val="BodyText"/>
        <w:spacing w:before="70"/>
        <w:ind w:left="1522" w:right="1650"/>
      </w:pPr>
      <w:r>
        <w:rPr/>
        <w:t>reduce the excise-equivalent customs duty rate for imported aviation fuel to the CASA levy of 3.556 cents per litre.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522" w:right="1862"/>
      </w:pPr>
      <w:r>
        <w:rPr/>
        <w:t>However section 19A of the </w:t>
      </w:r>
      <w:r>
        <w:rPr>
          <w:i/>
        </w:rPr>
        <w:t>Customs Tariff Act 1995 </w:t>
      </w:r>
      <w:r>
        <w:rPr/>
        <w:t>presently refers to sections 6FA and 6FB of the </w:t>
      </w:r>
      <w:r>
        <w:rPr>
          <w:i/>
        </w:rPr>
        <w:t>Excise Tariff Act 1921 </w:t>
      </w:r>
      <w:r>
        <w:rPr/>
        <w:t>which provides that the carbon component rate on aviation fuels will change to $0.05588 for gasoline and $0.06604 for kerosene respectively from 1 July 2014.</w:t>
      </w:r>
    </w:p>
    <w:p>
      <w:pPr>
        <w:pStyle w:val="BodyText"/>
        <w:spacing w:before="3"/>
      </w:pPr>
    </w:p>
    <w:p>
      <w:pPr>
        <w:pStyle w:val="BodyText"/>
        <w:ind w:left="1522" w:right="2249"/>
      </w:pPr>
      <w:r>
        <w:rPr/>
        <w:t>The following table sets out these changes and the Tariff sub-headings in Schedule 3 that will be affected:</w:t>
      </w:r>
    </w:p>
    <w:p>
      <w:pPr>
        <w:pStyle w:val="BodyText"/>
        <w:spacing w:before="4"/>
      </w:pPr>
    </w:p>
    <w:tbl>
      <w:tblPr>
        <w:tblW w:w="0" w:type="auto"/>
        <w:jc w:val="left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592"/>
        <w:gridCol w:w="1589"/>
        <w:gridCol w:w="1592"/>
        <w:gridCol w:w="1511"/>
        <w:gridCol w:w="1510"/>
      </w:tblGrid>
      <w:tr>
        <w:trPr>
          <w:trHeight w:val="1012" w:hRule="atLeast"/>
        </w:trPr>
        <w:tc>
          <w:tcPr>
            <w:tcW w:w="1243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Goods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Subheading</w:t>
            </w:r>
          </w:p>
        </w:tc>
        <w:tc>
          <w:tcPr>
            <w:tcW w:w="1589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Subheading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Subheading</w:t>
            </w:r>
          </w:p>
        </w:tc>
        <w:tc>
          <w:tcPr>
            <w:tcW w:w="1511" w:type="dxa"/>
          </w:tcPr>
          <w:p>
            <w:pPr>
              <w:pStyle w:val="TableParagraph"/>
              <w:ind w:right="279"/>
              <w:rPr>
                <w:b/>
                <w:sz w:val="22"/>
              </w:rPr>
            </w:pPr>
            <w:r>
              <w:rPr>
                <w:b/>
                <w:sz w:val="22"/>
              </w:rPr>
              <w:t>Current Excise- Equivalent</w:t>
            </w:r>
          </w:p>
          <w:p>
            <w:pPr>
              <w:pStyle w:val="TableParagraph"/>
              <w:spacing w:line="23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Duty</w:t>
            </w:r>
          </w:p>
        </w:tc>
        <w:tc>
          <w:tcPr>
            <w:tcW w:w="1510" w:type="dxa"/>
          </w:tcPr>
          <w:p>
            <w:pPr>
              <w:pStyle w:val="TableParagraph"/>
              <w:ind w:left="106"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New Excise- Equivalent Duty 1 July</w:t>
            </w:r>
          </w:p>
          <w:p>
            <w:pPr>
              <w:pStyle w:val="TableParagraph"/>
              <w:spacing w:line="23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</w:tr>
      <w:tr>
        <w:trPr>
          <w:trHeight w:val="1404" w:hRule="atLeast"/>
        </w:trPr>
        <w:tc>
          <w:tcPr>
            <w:tcW w:w="1243" w:type="dxa"/>
          </w:tcPr>
          <w:p>
            <w:pPr>
              <w:pStyle w:val="TableParagraph"/>
              <w:ind w:right="139"/>
              <w:rPr>
                <w:sz w:val="22"/>
              </w:rPr>
            </w:pPr>
            <w:r>
              <w:rPr>
                <w:sz w:val="22"/>
              </w:rPr>
              <w:t>Gasoline for use as fuel in aircraft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2710.12.61</w:t>
            </w:r>
          </w:p>
        </w:tc>
        <w:tc>
          <w:tcPr>
            <w:tcW w:w="1589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2710.91.61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2710.99.61</w:t>
            </w:r>
          </w:p>
        </w:tc>
        <w:tc>
          <w:tcPr>
            <w:tcW w:w="151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$0.08869/L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($0.05313</w:t>
            </w:r>
          </w:p>
          <w:p>
            <w:pPr>
              <w:pStyle w:val="TableParagraph"/>
              <w:spacing w:line="230" w:lineRule="exact" w:before="2"/>
              <w:ind w:right="279"/>
              <w:rPr>
                <w:sz w:val="20"/>
              </w:rPr>
            </w:pPr>
            <w:r>
              <w:rPr>
                <w:sz w:val="20"/>
              </w:rPr>
              <w:t>carbon </w:t>
            </w:r>
            <w:r>
              <w:rPr>
                <w:w w:val="95"/>
                <w:sz w:val="20"/>
              </w:rPr>
              <w:t>component </w:t>
            </w:r>
            <w:r>
              <w:rPr>
                <w:sz w:val="20"/>
              </w:rPr>
              <w:t>rate)</w:t>
            </w:r>
          </w:p>
        </w:tc>
        <w:tc>
          <w:tcPr>
            <w:tcW w:w="1510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$0.09144/L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($0.05588</w:t>
            </w:r>
          </w:p>
          <w:p>
            <w:pPr>
              <w:pStyle w:val="TableParagraph"/>
              <w:spacing w:line="230" w:lineRule="exact" w:before="2"/>
              <w:ind w:left="106" w:right="89"/>
              <w:rPr>
                <w:sz w:val="20"/>
              </w:rPr>
            </w:pPr>
            <w:r>
              <w:rPr>
                <w:sz w:val="20"/>
              </w:rPr>
              <w:t>carbon </w:t>
            </w:r>
            <w:r>
              <w:rPr>
                <w:w w:val="95"/>
                <w:sz w:val="20"/>
              </w:rPr>
              <w:t>component </w:t>
            </w:r>
            <w:r>
              <w:rPr>
                <w:sz w:val="20"/>
              </w:rPr>
              <w:t>rate)</w:t>
            </w:r>
          </w:p>
        </w:tc>
      </w:tr>
      <w:tr>
        <w:trPr>
          <w:trHeight w:val="1403" w:hRule="atLeast"/>
        </w:trPr>
        <w:tc>
          <w:tcPr>
            <w:tcW w:w="1243" w:type="dxa"/>
          </w:tcPr>
          <w:p>
            <w:pPr>
              <w:pStyle w:val="TableParagraph"/>
              <w:ind w:right="139"/>
              <w:rPr>
                <w:sz w:val="22"/>
              </w:rPr>
            </w:pPr>
            <w:r>
              <w:rPr>
                <w:sz w:val="22"/>
              </w:rPr>
              <w:t>Kerosene for use as fuel in aircraft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2710.19.40</w:t>
            </w:r>
          </w:p>
        </w:tc>
        <w:tc>
          <w:tcPr>
            <w:tcW w:w="1589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2710.91.40</w:t>
            </w:r>
          </w:p>
        </w:tc>
        <w:tc>
          <w:tcPr>
            <w:tcW w:w="15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2710.99.40</w:t>
            </w:r>
          </w:p>
        </w:tc>
        <w:tc>
          <w:tcPr>
            <w:tcW w:w="151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$0.09835/L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($0.06279</w:t>
            </w:r>
          </w:p>
          <w:p>
            <w:pPr>
              <w:pStyle w:val="TableParagraph"/>
              <w:spacing w:line="230" w:lineRule="atLeast" w:before="1"/>
              <w:ind w:right="279"/>
              <w:rPr>
                <w:sz w:val="20"/>
              </w:rPr>
            </w:pPr>
            <w:r>
              <w:rPr>
                <w:sz w:val="20"/>
              </w:rPr>
              <w:t>carbon </w:t>
            </w:r>
            <w:r>
              <w:rPr>
                <w:w w:val="95"/>
                <w:sz w:val="20"/>
              </w:rPr>
              <w:t>component </w:t>
            </w:r>
            <w:r>
              <w:rPr>
                <w:sz w:val="20"/>
              </w:rPr>
              <w:t>rate)</w:t>
            </w:r>
          </w:p>
        </w:tc>
        <w:tc>
          <w:tcPr>
            <w:tcW w:w="1510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$0.1016/L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($0.06604</w:t>
            </w:r>
          </w:p>
          <w:p>
            <w:pPr>
              <w:pStyle w:val="TableParagraph"/>
              <w:spacing w:line="230" w:lineRule="atLeast" w:before="1"/>
              <w:ind w:left="106" w:right="89"/>
              <w:rPr>
                <w:sz w:val="20"/>
              </w:rPr>
            </w:pPr>
            <w:r>
              <w:rPr>
                <w:sz w:val="20"/>
              </w:rPr>
              <w:t>carbon </w:t>
            </w:r>
            <w:r>
              <w:rPr>
                <w:w w:val="95"/>
                <w:sz w:val="20"/>
              </w:rPr>
              <w:t>component </w:t>
            </w:r>
            <w:r>
              <w:rPr>
                <w:sz w:val="20"/>
              </w:rPr>
              <w:t>rate)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522" w:right="1689"/>
      </w:pPr>
      <w:r>
        <w:rPr/>
        <w:t>Note: the same carbon component rate changes will take effect on 1 July 2014 on all corresponding table items in the Free Trade Agreements set out in Schedules 5, 6, 7, 8, and 9 of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</w:pPr>
    </w:p>
    <w:p>
      <w:pPr>
        <w:pStyle w:val="BodyText"/>
        <w:ind w:left="1522"/>
      </w:pPr>
      <w:r>
        <w:rPr>
          <w:u w:val="single"/>
        </w:rPr>
        <w:t>Excise Rate Changes</w:t>
      </w:r>
    </w:p>
    <w:p>
      <w:pPr>
        <w:pStyle w:val="BodyText"/>
        <w:rPr>
          <w:sz w:val="16"/>
        </w:rPr>
      </w:pPr>
    </w:p>
    <w:p>
      <w:pPr>
        <w:pStyle w:val="BodyText"/>
        <w:spacing w:line="237" w:lineRule="auto" w:before="95"/>
        <w:ind w:left="1522" w:right="2037"/>
      </w:pPr>
      <w:r>
        <w:rPr/>
        <w:t>For more information on equivalent excise rate changes refer to </w:t>
      </w:r>
      <w:hyperlink r:id="rId7">
        <w:r>
          <w:rPr/>
          <w:t>Excise and</w:t>
        </w:r>
      </w:hyperlink>
      <w:r>
        <w:rPr/>
        <w:t> </w:t>
      </w:r>
      <w:hyperlink r:id="rId7">
        <w:r>
          <w:rPr/>
          <w:t>excise equivalent goods </w:t>
        </w:r>
      </w:hyperlink>
      <w:r>
        <w:rPr/>
        <w:t>webpage on the </w:t>
      </w:r>
      <w:r>
        <w:rPr>
          <w:i/>
        </w:rPr>
        <w:t>ato.gov.au </w:t>
      </w:r>
      <w:r>
        <w:rPr/>
        <w:t>web site.</w:t>
      </w:r>
    </w:p>
    <w:p>
      <w:pPr>
        <w:pStyle w:val="BodyText"/>
        <w:spacing w:before="3"/>
      </w:pPr>
    </w:p>
    <w:p>
      <w:pPr>
        <w:pStyle w:val="BodyText"/>
        <w:ind w:left="1522"/>
      </w:pPr>
      <w:r>
        <w:rPr>
          <w:u w:val="single"/>
        </w:rPr>
        <w:t>Statistical code and AHECC changes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1522" w:right="1997"/>
      </w:pPr>
      <w:r>
        <w:rPr/>
        <w:t>The Australian Bureau of Statistics has advised there are no statistical code changes in the Customs Tariff Working Pages.</w:t>
      </w:r>
    </w:p>
    <w:p>
      <w:pPr>
        <w:pStyle w:val="BodyText"/>
      </w:pPr>
    </w:p>
    <w:p>
      <w:pPr>
        <w:pStyle w:val="BodyText"/>
        <w:ind w:left="1522" w:right="2610"/>
      </w:pPr>
      <w:r>
        <w:rPr/>
        <w:t>Further, there will be no changes to the Australian Harmonized Export Commodity Classification at 1 July 2014.</w:t>
      </w:r>
    </w:p>
    <w:p>
      <w:pPr>
        <w:spacing w:after="0"/>
        <w:sectPr>
          <w:pgSz w:w="11910" w:h="16840"/>
          <w:pgMar w:header="0" w:footer="821" w:top="1040" w:bottom="1020" w:left="180" w:right="160"/>
        </w:sectPr>
      </w:pPr>
    </w:p>
    <w:p>
      <w:pPr>
        <w:pStyle w:val="BodyText"/>
        <w:spacing w:before="70"/>
        <w:ind w:left="1522"/>
      </w:pPr>
      <w:r>
        <w:rPr/>
        <w:t>Please direct any inquiries concerning these matters to the following contacts: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2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4"/>
        <w:gridCol w:w="3780"/>
      </w:tblGrid>
      <w:tr>
        <w:trPr>
          <w:trHeight w:val="1926" w:hRule="atLeast"/>
        </w:trPr>
        <w:tc>
          <w:tcPr>
            <w:tcW w:w="3344" w:type="dxa"/>
          </w:tcPr>
          <w:p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for customs duty rates</w:t>
            </w:r>
          </w:p>
          <w:p>
            <w:pPr>
              <w:pStyle w:val="TableParagraph"/>
              <w:spacing w:line="229" w:lineRule="exact" w:before="94"/>
              <w:ind w:left="200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>
            <w:pPr>
              <w:pStyle w:val="TableParagraph"/>
              <w:ind w:left="200" w:right="344"/>
              <w:rPr>
                <w:sz w:val="20"/>
              </w:rPr>
            </w:pPr>
            <w:r>
              <w:rPr>
                <w:sz w:val="20"/>
              </w:rPr>
              <w:t>Trade Policy and Advice Australian Customs and Border Protection Service</w:t>
            </w: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5 Constitution Avenue</w:t>
            </w:r>
          </w:p>
          <w:p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CANBERRA ACT 2601</w:t>
            </w:r>
          </w:p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Ph: (02) 6275 6542</w:t>
            </w:r>
          </w:p>
        </w:tc>
        <w:tc>
          <w:tcPr>
            <w:tcW w:w="3780" w:type="dxa"/>
          </w:tcPr>
          <w:p>
            <w:pPr>
              <w:pStyle w:val="TableParagraph"/>
              <w:spacing w:line="223" w:lineRule="exact"/>
              <w:ind w:left="365"/>
              <w:rPr>
                <w:sz w:val="20"/>
              </w:rPr>
            </w:pPr>
            <w:r>
              <w:rPr>
                <w:sz w:val="20"/>
                <w:u w:val="single"/>
              </w:rPr>
              <w:t>for excise duty rates</w:t>
            </w:r>
          </w:p>
          <w:p>
            <w:pPr>
              <w:pStyle w:val="TableParagraph"/>
              <w:spacing w:line="229" w:lineRule="exact" w:before="94"/>
              <w:ind w:left="365"/>
              <w:rPr>
                <w:sz w:val="20"/>
              </w:rPr>
            </w:pPr>
            <w:r>
              <w:rPr>
                <w:sz w:val="20"/>
              </w:rPr>
              <w:t>Senior Director</w:t>
            </w:r>
          </w:p>
          <w:p>
            <w:pPr>
              <w:pStyle w:val="TableParagraph"/>
              <w:ind w:left="365" w:right="182"/>
              <w:rPr>
                <w:sz w:val="20"/>
              </w:rPr>
            </w:pPr>
            <w:r>
              <w:rPr>
                <w:sz w:val="20"/>
              </w:rPr>
              <w:t>Indirect Tax, Revenue Performance, Intelligence and Effectiveness Australian Taxation Office</w:t>
            </w:r>
          </w:p>
          <w:p>
            <w:pPr>
              <w:pStyle w:val="TableParagraph"/>
              <w:ind w:left="365"/>
              <w:rPr>
                <w:sz w:val="20"/>
              </w:rPr>
            </w:pPr>
            <w:r>
              <w:rPr>
                <w:sz w:val="20"/>
              </w:rPr>
              <w:t>21 Genge Street</w:t>
            </w:r>
          </w:p>
          <w:p>
            <w:pPr>
              <w:pStyle w:val="TableParagraph"/>
              <w:spacing w:before="1"/>
              <w:ind w:left="365"/>
              <w:rPr>
                <w:sz w:val="20"/>
              </w:rPr>
            </w:pPr>
            <w:r>
              <w:rPr>
                <w:sz w:val="20"/>
              </w:rPr>
              <w:t>CANBERRA ACT 2600</w:t>
            </w:r>
          </w:p>
          <w:p>
            <w:pPr>
              <w:pStyle w:val="TableParagraph"/>
              <w:spacing w:line="210" w:lineRule="exact"/>
              <w:ind w:left="365"/>
              <w:rPr>
                <w:sz w:val="20"/>
              </w:rPr>
            </w:pPr>
            <w:r>
              <w:rPr>
                <w:sz w:val="20"/>
              </w:rPr>
              <w:t>(02) 6216 2572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522"/>
      </w:pPr>
      <w:r>
        <w:rPr/>
        <w:t>Customs Tariff pages to be issued in connection with these changes are:</w:t>
      </w:r>
    </w:p>
    <w:p>
      <w:pPr>
        <w:pStyle w:val="BodyText"/>
        <w:spacing w:before="8"/>
      </w:pPr>
    </w:p>
    <w:tbl>
      <w:tblPr>
        <w:tblW w:w="0" w:type="auto"/>
        <w:jc w:val="left"/>
        <w:tblInd w:w="1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2181"/>
        <w:gridCol w:w="2251"/>
        <w:gridCol w:w="2044"/>
      </w:tblGrid>
      <w:tr>
        <w:trPr>
          <w:trHeight w:val="416" w:hRule="atLeast"/>
        </w:trPr>
        <w:tc>
          <w:tcPr>
            <w:tcW w:w="2213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sz w:val="22"/>
                <w:u w:val="single"/>
              </w:rPr>
              <w:t>Schedule 3</w:t>
            </w:r>
          </w:p>
        </w:tc>
        <w:tc>
          <w:tcPr>
            <w:tcW w:w="21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52" w:hRule="atLeast"/>
        </w:trPr>
        <w:tc>
          <w:tcPr>
            <w:tcW w:w="2213" w:type="dxa"/>
          </w:tcPr>
          <w:p>
            <w:pPr>
              <w:pStyle w:val="TableParagraph"/>
              <w:spacing w:before="163"/>
              <w:ind w:left="200"/>
              <w:rPr>
                <w:sz w:val="22"/>
              </w:rPr>
            </w:pPr>
            <w:r>
              <w:rPr>
                <w:sz w:val="22"/>
              </w:rPr>
              <w:t>27/7-27/8 (R.26)</w:t>
            </w:r>
          </w:p>
          <w:p>
            <w:pPr>
              <w:pStyle w:val="TableParagraph"/>
              <w:spacing w:line="253" w:lineRule="exact" w:before="1"/>
              <w:ind w:left="200"/>
              <w:rPr>
                <w:sz w:val="22"/>
              </w:rPr>
            </w:pPr>
            <w:r>
              <w:rPr>
                <w:sz w:val="22"/>
              </w:rPr>
              <w:t>27/17 - 27/18 (R.7)</w:t>
            </w: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38/9-38/10 (R.14)</w:t>
            </w:r>
          </w:p>
        </w:tc>
        <w:tc>
          <w:tcPr>
            <w:tcW w:w="2181" w:type="dxa"/>
          </w:tcPr>
          <w:p>
            <w:pPr>
              <w:pStyle w:val="TableParagraph"/>
              <w:spacing w:before="163"/>
              <w:ind w:left="166"/>
              <w:rPr>
                <w:sz w:val="22"/>
              </w:rPr>
            </w:pPr>
            <w:r>
              <w:rPr>
                <w:sz w:val="22"/>
              </w:rPr>
              <w:t>27/11-27/12 (R.12)</w:t>
            </w:r>
          </w:p>
          <w:p>
            <w:pPr>
              <w:pStyle w:val="TableParagraph"/>
              <w:spacing w:line="253" w:lineRule="exact" w:before="1"/>
              <w:ind w:left="166"/>
              <w:rPr>
                <w:sz w:val="22"/>
              </w:rPr>
            </w:pPr>
            <w:r>
              <w:rPr>
                <w:sz w:val="22"/>
              </w:rPr>
              <w:t>27/19-27/20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(R.6)</w:t>
            </w:r>
          </w:p>
          <w:p>
            <w:pPr>
              <w:pStyle w:val="TableParagraph"/>
              <w:ind w:left="166"/>
              <w:rPr>
                <w:sz w:val="22"/>
              </w:rPr>
            </w:pPr>
            <w:r>
              <w:rPr>
                <w:sz w:val="22"/>
              </w:rPr>
              <w:t>38/11-38/12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(R.7)</w:t>
            </w:r>
          </w:p>
        </w:tc>
        <w:tc>
          <w:tcPr>
            <w:tcW w:w="2251" w:type="dxa"/>
          </w:tcPr>
          <w:p>
            <w:pPr>
              <w:pStyle w:val="TableParagraph"/>
              <w:spacing w:before="163"/>
              <w:ind w:left="164"/>
              <w:rPr>
                <w:sz w:val="22"/>
              </w:rPr>
            </w:pPr>
            <w:r>
              <w:rPr>
                <w:sz w:val="22"/>
              </w:rPr>
              <w:t>27/13 - 27/14 (R.12)</w:t>
            </w:r>
          </w:p>
          <w:p>
            <w:pPr>
              <w:pStyle w:val="TableParagraph"/>
              <w:spacing w:line="253" w:lineRule="exact" w:before="1"/>
              <w:ind w:left="164"/>
              <w:rPr>
                <w:sz w:val="22"/>
              </w:rPr>
            </w:pPr>
            <w:r>
              <w:rPr>
                <w:sz w:val="22"/>
              </w:rPr>
              <w:t>34/3-34/4 (R.14)</w:t>
            </w:r>
          </w:p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39/21 (R.10)</w:t>
            </w:r>
          </w:p>
        </w:tc>
        <w:tc>
          <w:tcPr>
            <w:tcW w:w="2044" w:type="dxa"/>
          </w:tcPr>
          <w:p>
            <w:pPr>
              <w:pStyle w:val="TableParagraph"/>
              <w:spacing w:before="163"/>
              <w:ind w:left="115"/>
              <w:rPr>
                <w:sz w:val="22"/>
              </w:rPr>
            </w:pPr>
            <w:r>
              <w:rPr>
                <w:sz w:val="22"/>
              </w:rPr>
              <w:t>27/15-27/16 (R.7)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34/5-34/6 (R.14)</w:t>
            </w:r>
          </w:p>
        </w:tc>
      </w:tr>
      <w:tr>
        <w:trPr>
          <w:trHeight w:val="506" w:hRule="atLeast"/>
        </w:trPr>
        <w:tc>
          <w:tcPr>
            <w:tcW w:w="2213" w:type="dxa"/>
          </w:tcPr>
          <w:p>
            <w:pPr>
              <w:pStyle w:val="TableParagraph"/>
              <w:spacing w:before="123"/>
              <w:ind w:left="200"/>
              <w:rPr>
                <w:sz w:val="22"/>
              </w:rPr>
            </w:pPr>
            <w:r>
              <w:rPr>
                <w:sz w:val="22"/>
                <w:u w:val="single"/>
              </w:rPr>
              <w:t>Schedule 4</w:t>
            </w:r>
          </w:p>
        </w:tc>
        <w:tc>
          <w:tcPr>
            <w:tcW w:w="2181" w:type="dxa"/>
          </w:tcPr>
          <w:p>
            <w:pPr>
              <w:pStyle w:val="TableParagraph"/>
              <w:spacing w:before="123"/>
              <w:ind w:left="166"/>
              <w:rPr>
                <w:sz w:val="22"/>
              </w:rPr>
            </w:pPr>
            <w:r>
              <w:rPr>
                <w:sz w:val="22"/>
                <w:u w:val="single"/>
              </w:rPr>
              <w:t>Schedule 5</w:t>
            </w:r>
          </w:p>
        </w:tc>
        <w:tc>
          <w:tcPr>
            <w:tcW w:w="2251" w:type="dxa"/>
          </w:tcPr>
          <w:p>
            <w:pPr>
              <w:pStyle w:val="TableParagraph"/>
              <w:spacing w:before="123"/>
              <w:ind w:left="164"/>
              <w:rPr>
                <w:sz w:val="22"/>
              </w:rPr>
            </w:pPr>
            <w:r>
              <w:rPr>
                <w:sz w:val="22"/>
                <w:u w:val="single"/>
              </w:rPr>
              <w:t>Schedule 6</w:t>
            </w:r>
          </w:p>
        </w:tc>
        <w:tc>
          <w:tcPr>
            <w:tcW w:w="2044" w:type="dxa"/>
          </w:tcPr>
          <w:p>
            <w:pPr>
              <w:pStyle w:val="TableParagraph"/>
              <w:spacing w:before="123"/>
              <w:ind w:left="115"/>
              <w:rPr>
                <w:sz w:val="22"/>
              </w:rPr>
            </w:pPr>
            <w:r>
              <w:rPr>
                <w:sz w:val="22"/>
                <w:u w:val="single"/>
              </w:rPr>
              <w:t>Schedule 7</w:t>
            </w:r>
          </w:p>
        </w:tc>
      </w:tr>
      <w:tr>
        <w:trPr>
          <w:trHeight w:val="1010" w:hRule="atLeast"/>
        </w:trPr>
        <w:tc>
          <w:tcPr>
            <w:tcW w:w="2213" w:type="dxa"/>
          </w:tcPr>
          <w:p>
            <w:pPr>
              <w:pStyle w:val="TableParagraph"/>
              <w:spacing w:before="123"/>
              <w:ind w:left="200"/>
              <w:rPr>
                <w:sz w:val="22"/>
              </w:rPr>
            </w:pPr>
            <w:r>
              <w:rPr>
                <w:sz w:val="22"/>
              </w:rPr>
              <w:t>4/19 - 4/20 (R.1)</w:t>
            </w:r>
          </w:p>
        </w:tc>
        <w:tc>
          <w:tcPr>
            <w:tcW w:w="2181" w:type="dxa"/>
          </w:tcPr>
          <w:p>
            <w:pPr>
              <w:pStyle w:val="TableParagraph"/>
              <w:spacing w:line="252" w:lineRule="exact" w:before="123"/>
              <w:ind w:left="166"/>
              <w:rPr>
                <w:sz w:val="22"/>
              </w:rPr>
            </w:pPr>
            <w:r>
              <w:rPr>
                <w:sz w:val="22"/>
              </w:rPr>
              <w:t>5/3 - 5/4 (R.33)</w:t>
            </w:r>
          </w:p>
          <w:p>
            <w:pPr>
              <w:pStyle w:val="TableParagraph"/>
              <w:spacing w:line="252" w:lineRule="exact"/>
              <w:ind w:left="166"/>
              <w:rPr>
                <w:sz w:val="22"/>
              </w:rPr>
            </w:pPr>
            <w:r>
              <w:rPr>
                <w:sz w:val="22"/>
              </w:rPr>
              <w:t>5/5 - 5/6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(R.9)</w:t>
            </w:r>
          </w:p>
          <w:p>
            <w:pPr>
              <w:pStyle w:val="TableParagraph"/>
              <w:spacing w:line="252" w:lineRule="exact"/>
              <w:ind w:left="166"/>
              <w:rPr>
                <w:sz w:val="22"/>
              </w:rPr>
            </w:pPr>
            <w:r>
              <w:rPr>
                <w:sz w:val="22"/>
              </w:rPr>
              <w:t>5/7 - 5/8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(R.5)</w:t>
            </w:r>
          </w:p>
        </w:tc>
        <w:tc>
          <w:tcPr>
            <w:tcW w:w="2251" w:type="dxa"/>
          </w:tcPr>
          <w:p>
            <w:pPr>
              <w:pStyle w:val="TableParagraph"/>
              <w:spacing w:line="252" w:lineRule="exact" w:before="123"/>
              <w:ind w:left="164"/>
              <w:rPr>
                <w:sz w:val="22"/>
              </w:rPr>
            </w:pPr>
            <w:r>
              <w:rPr>
                <w:sz w:val="22"/>
              </w:rPr>
              <w:t>6/3 - 6/4 (R.32)</w:t>
            </w:r>
          </w:p>
          <w:p>
            <w:pPr>
              <w:pStyle w:val="TableParagraph"/>
              <w:spacing w:line="252" w:lineRule="exact"/>
              <w:ind w:left="164"/>
              <w:rPr>
                <w:sz w:val="22"/>
              </w:rPr>
            </w:pPr>
            <w:r>
              <w:rPr>
                <w:sz w:val="22"/>
              </w:rPr>
              <w:t>6/5 - 6/6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(R.9)</w:t>
            </w:r>
          </w:p>
          <w:p>
            <w:pPr>
              <w:pStyle w:val="TableParagraph"/>
              <w:spacing w:line="252" w:lineRule="exact"/>
              <w:ind w:left="164"/>
              <w:rPr>
                <w:sz w:val="22"/>
              </w:rPr>
            </w:pPr>
            <w:r>
              <w:rPr>
                <w:sz w:val="22"/>
              </w:rPr>
              <w:t>6/7 - 6/8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(R.5)</w:t>
            </w:r>
          </w:p>
        </w:tc>
        <w:tc>
          <w:tcPr>
            <w:tcW w:w="2044" w:type="dxa"/>
          </w:tcPr>
          <w:p>
            <w:pPr>
              <w:pStyle w:val="TableParagraph"/>
              <w:spacing w:line="252" w:lineRule="exact" w:before="123"/>
              <w:ind w:left="115"/>
              <w:rPr>
                <w:sz w:val="22"/>
              </w:rPr>
            </w:pPr>
            <w:r>
              <w:rPr>
                <w:sz w:val="22"/>
              </w:rPr>
              <w:t>7/5 - 7/6 (R.6)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7/6A - 7/6B (R.4)</w:t>
            </w:r>
          </w:p>
        </w:tc>
      </w:tr>
      <w:tr>
        <w:trPr>
          <w:trHeight w:val="506" w:hRule="atLeast"/>
        </w:trPr>
        <w:tc>
          <w:tcPr>
            <w:tcW w:w="2213" w:type="dxa"/>
          </w:tcPr>
          <w:p>
            <w:pPr>
              <w:pStyle w:val="TableParagraph"/>
              <w:spacing w:before="123"/>
              <w:ind w:left="200"/>
              <w:rPr>
                <w:sz w:val="22"/>
              </w:rPr>
            </w:pPr>
            <w:r>
              <w:rPr>
                <w:sz w:val="22"/>
                <w:u w:val="single"/>
              </w:rPr>
              <w:t>Schedule 8</w:t>
            </w:r>
          </w:p>
        </w:tc>
        <w:tc>
          <w:tcPr>
            <w:tcW w:w="2181" w:type="dxa"/>
          </w:tcPr>
          <w:p>
            <w:pPr>
              <w:pStyle w:val="TableParagraph"/>
              <w:spacing w:before="123"/>
              <w:ind w:left="166"/>
              <w:rPr>
                <w:sz w:val="22"/>
              </w:rPr>
            </w:pPr>
            <w:r>
              <w:rPr>
                <w:sz w:val="22"/>
                <w:u w:val="single"/>
              </w:rPr>
              <w:t>Schedule 9</w:t>
            </w:r>
          </w:p>
        </w:tc>
        <w:tc>
          <w:tcPr>
            <w:tcW w:w="22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82" w:hRule="atLeast"/>
        </w:trPr>
        <w:tc>
          <w:tcPr>
            <w:tcW w:w="2213" w:type="dxa"/>
          </w:tcPr>
          <w:p>
            <w:pPr>
              <w:pStyle w:val="TableParagraph"/>
              <w:spacing w:line="252" w:lineRule="exact" w:before="123"/>
              <w:ind w:left="200"/>
              <w:rPr>
                <w:sz w:val="22"/>
              </w:rPr>
            </w:pPr>
            <w:r>
              <w:rPr>
                <w:sz w:val="22"/>
              </w:rPr>
              <w:t>8/3 - 8/4 (R.18)</w:t>
            </w:r>
          </w:p>
          <w:p>
            <w:pPr>
              <w:pStyle w:val="TableParagraph"/>
              <w:spacing w:line="252" w:lineRule="exact"/>
              <w:ind w:left="200"/>
              <w:rPr>
                <w:sz w:val="22"/>
              </w:rPr>
            </w:pPr>
            <w:r>
              <w:rPr>
                <w:sz w:val="22"/>
              </w:rPr>
              <w:t>8/5 - 8/6 (R.6)</w:t>
            </w:r>
          </w:p>
          <w:p>
            <w:pPr>
              <w:pStyle w:val="TableParagraph"/>
              <w:spacing w:line="233" w:lineRule="exact" w:before="2"/>
              <w:ind w:left="200"/>
              <w:rPr>
                <w:sz w:val="22"/>
              </w:rPr>
            </w:pPr>
            <w:r>
              <w:rPr>
                <w:sz w:val="22"/>
              </w:rPr>
              <w:t>8/8A - 8/8B (R.2)</w:t>
            </w:r>
          </w:p>
        </w:tc>
        <w:tc>
          <w:tcPr>
            <w:tcW w:w="2181" w:type="dxa"/>
          </w:tcPr>
          <w:p>
            <w:pPr>
              <w:pStyle w:val="TableParagraph"/>
              <w:spacing w:line="252" w:lineRule="exact" w:before="123"/>
              <w:ind w:left="166"/>
              <w:rPr>
                <w:sz w:val="22"/>
              </w:rPr>
            </w:pPr>
            <w:r>
              <w:rPr>
                <w:sz w:val="22"/>
              </w:rPr>
              <w:t>9/3 - 9/4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(R.7)</w:t>
            </w:r>
          </w:p>
          <w:p>
            <w:pPr>
              <w:pStyle w:val="TableParagraph"/>
              <w:spacing w:line="252" w:lineRule="exact"/>
              <w:ind w:left="166"/>
              <w:rPr>
                <w:sz w:val="22"/>
              </w:rPr>
            </w:pPr>
            <w:r>
              <w:rPr>
                <w:sz w:val="22"/>
              </w:rPr>
              <w:t>9/5 - 9/6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(R.2)</w:t>
            </w:r>
          </w:p>
          <w:p>
            <w:pPr>
              <w:pStyle w:val="TableParagraph"/>
              <w:spacing w:line="233" w:lineRule="exact" w:before="2"/>
              <w:ind w:left="166"/>
              <w:rPr>
                <w:sz w:val="22"/>
              </w:rPr>
            </w:pPr>
            <w:r>
              <w:rPr>
                <w:sz w:val="22"/>
              </w:rPr>
              <w:t>9/7 - 9/8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(R.1)</w:t>
            </w:r>
          </w:p>
        </w:tc>
        <w:tc>
          <w:tcPr>
            <w:tcW w:w="22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522" w:right="8694"/>
      </w:pPr>
      <w:r>
        <w:rPr/>
        <w:t>(signed) Robyn Miller</w:t>
      </w:r>
    </w:p>
    <w:p>
      <w:pPr>
        <w:pStyle w:val="BodyText"/>
        <w:ind w:left="1522"/>
      </w:pPr>
      <w:r>
        <w:rPr/>
        <w:t>A/g National Director</w:t>
      </w:r>
    </w:p>
    <w:p>
      <w:pPr>
        <w:pStyle w:val="BodyText"/>
        <w:ind w:left="1522" w:right="7013"/>
      </w:pPr>
      <w:r>
        <w:rPr/>
        <w:t>Trade and Customs Division Canberra ACT</w:t>
      </w:r>
    </w:p>
    <w:p>
      <w:pPr>
        <w:pStyle w:val="BodyText"/>
        <w:ind w:left="1522"/>
      </w:pPr>
      <w:r>
        <w:rPr/>
        <w:t>26 June 2014</w:t>
      </w:r>
    </w:p>
    <w:sectPr>
      <w:pgSz w:w="11910" w:h="16840"/>
      <w:pgMar w:header="0" w:footer="821" w:top="1040" w:bottom="102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820007pt;margin-top:789.879456pt;width:11.55pt;height:13.15pt;mso-position-horizontal-relative:page;mso-position-vertical-relative:page;z-index:-160245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22" w:right="1617" w:hanging="3368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www.ato.gov.au/Business/Excise-and-excise-equivalent-good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2020-12-09T22:15:17Z</dcterms:created>
  <dcterms:modified xsi:type="dcterms:W3CDTF">2020-12-09T22:15:17Z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LastSaved">
    <vt:filetime>2020-12-09T00:00:00Z</vt:filetime>
  </property>
</Properties>
</file>