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8"/>
        <w:rPr>
          <w:rFonts w:ascii="Times New Roman"/>
          <w:sz w:val="21"/>
        </w:rPr>
      </w:pPr>
    </w:p>
    <w:p>
      <w:pPr>
        <w:pStyle w:val="Title"/>
        <w:spacing w:line="232" w:lineRule="auto" w:after="19"/>
        <w:ind w:right="1624"/>
      </w:pPr>
      <w:r>
        <w:rPr/>
        <w:t>AUSTRALIAN CUSTOMS AND BORDER PROTECTION NOTICE NO. 2014/30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47"/>
      </w:pPr>
      <w:r>
        <w:rPr/>
        <w:t>The following individuals and companies have applied to the Chief Executive Officer of the Australian Customs and Border Protection Service (ACBPS) for a customs broker licence.</w:t>
      </w:r>
    </w:p>
    <w:p>
      <w:pPr>
        <w:pStyle w:val="BodyText"/>
      </w:pPr>
    </w:p>
    <w:p>
      <w:pPr>
        <w:spacing w:after="0"/>
        <w:sectPr>
          <w:type w:val="continuous"/>
          <w:pgSz w:w="11900" w:h="16840"/>
          <w:pgMar w:top="1140" w:bottom="280" w:left="180" w:right="160"/>
        </w:sectPr>
      </w:pPr>
    </w:p>
    <w:p>
      <w:pPr>
        <w:pStyle w:val="BodyText"/>
        <w:spacing w:before="4"/>
        <w:rPr>
          <w:sz w:val="18"/>
        </w:rPr>
      </w:pPr>
    </w:p>
    <w:p>
      <w:pPr>
        <w:pStyle w:val="Heading1"/>
        <w:ind w:left="1521"/>
      </w:pPr>
      <w:r>
        <w:rPr>
          <w:w w:val="95"/>
          <w:u w:val="thick"/>
        </w:rPr>
        <w:t>INDIVIDUAL</w:t>
      </w:r>
    </w:p>
    <w:p>
      <w:pPr>
        <w:pStyle w:val="BodyText"/>
        <w:spacing w:before="1"/>
        <w:rPr>
          <w:b/>
          <w:sz w:val="18"/>
        </w:rPr>
      </w:pPr>
      <w:r>
        <w:rPr/>
        <w:br w:type="column"/>
      </w:r>
      <w:r>
        <w:rPr>
          <w:b/>
          <w:sz w:val="18"/>
        </w:rPr>
      </w:r>
    </w:p>
    <w:p>
      <w:pPr>
        <w:spacing w:before="0"/>
        <w:ind w:left="1335" w:right="0" w:firstLine="0"/>
        <w:jc w:val="left"/>
        <w:rPr>
          <w:b/>
          <w:sz w:val="20"/>
        </w:rPr>
      </w:pPr>
      <w:r>
        <w:rPr>
          <w:b/>
          <w:w w:val="95"/>
          <w:sz w:val="20"/>
          <w:u w:val="thick"/>
        </w:rPr>
        <w:t>CORPORATE</w:t>
      </w:r>
    </w:p>
    <w:p>
      <w:pPr>
        <w:pStyle w:val="BodyText"/>
        <w:spacing w:before="1"/>
        <w:rPr>
          <w:b/>
          <w:sz w:val="18"/>
        </w:rPr>
      </w:pPr>
      <w:r>
        <w:rPr/>
        <w:br w:type="column"/>
      </w:r>
      <w:r>
        <w:rPr>
          <w:b/>
          <w:sz w:val="18"/>
        </w:rPr>
      </w:r>
    </w:p>
    <w:p>
      <w:pPr>
        <w:pStyle w:val="Heading1"/>
        <w:ind w:left="1377"/>
      </w:pPr>
      <w:r>
        <w:rPr>
          <w:u w:val="thick"/>
        </w:rPr>
        <w:t>CORPORATE</w:t>
      </w:r>
    </w:p>
    <w:p>
      <w:pPr>
        <w:spacing w:after="0"/>
        <w:sectPr>
          <w:type w:val="continuous"/>
          <w:pgSz w:w="11900" w:h="16840"/>
          <w:pgMar w:top="1140" w:bottom="280" w:left="180" w:right="160"/>
          <w:cols w:num="3" w:equalWidth="0">
            <w:col w:w="2664" w:space="40"/>
            <w:col w:w="2612" w:space="39"/>
            <w:col w:w="6205"/>
          </w:cols>
        </w:sectPr>
      </w:pPr>
    </w:p>
    <w:p>
      <w:pPr>
        <w:pStyle w:val="BodyText"/>
        <w:spacing w:before="8"/>
        <w:rPr>
          <w:b/>
          <w:sz w:val="13"/>
        </w:rPr>
      </w:pPr>
    </w:p>
    <w:p>
      <w:pPr>
        <w:spacing w:after="0"/>
        <w:rPr>
          <w:sz w:val="13"/>
        </w:rPr>
        <w:sectPr>
          <w:type w:val="continuous"/>
          <w:pgSz w:w="11900" w:h="16840"/>
          <w:pgMar w:top="1140" w:bottom="280" w:left="180" w:right="160"/>
        </w:sectPr>
      </w:pPr>
    </w:p>
    <w:p>
      <w:pPr>
        <w:pStyle w:val="BodyText"/>
        <w:spacing w:line="235" w:lineRule="auto" w:before="68"/>
        <w:ind w:left="1521"/>
      </w:pPr>
      <w:r>
        <w:rPr/>
        <w:t>MA, Xuedong </w:t>
      </w:r>
      <w:r>
        <w:rPr>
          <w:spacing w:val="-3"/>
        </w:rPr>
        <w:t>(Gloria) </w:t>
      </w:r>
      <w:r>
        <w:rPr/>
        <w:t>ZHU, Bin</w:t>
      </w:r>
    </w:p>
    <w:p>
      <w:pPr>
        <w:pStyle w:val="BodyText"/>
        <w:spacing w:line="235" w:lineRule="auto"/>
        <w:ind w:left="1521"/>
      </w:pPr>
      <w:r>
        <w:rPr/>
        <w:t>SYEEDUL, Islam ZHENG, Yilu (Nicole) MANN, Gary</w:t>
      </w:r>
    </w:p>
    <w:p>
      <w:pPr>
        <w:pStyle w:val="BodyText"/>
        <w:spacing w:line="235" w:lineRule="auto" w:before="68"/>
        <w:ind w:left="546" w:right="511"/>
      </w:pPr>
      <w:r>
        <w:rPr/>
        <w:br w:type="column"/>
      </w:r>
      <w:r>
        <w:rPr/>
        <w:t>KOGNITION Pty Ltd ABN 69 167 593 142</w:t>
      </w:r>
    </w:p>
    <w:p>
      <w:pPr>
        <w:pStyle w:val="BodyText"/>
        <w:spacing w:line="235" w:lineRule="auto"/>
        <w:ind w:left="546" w:right="-1"/>
      </w:pPr>
      <w:r>
        <w:rPr/>
        <w:t>173 NorthWest Arm Road GRAYS POINT NSW </w:t>
      </w:r>
      <w:r>
        <w:rPr>
          <w:spacing w:val="-5"/>
        </w:rPr>
        <w:t>2232</w:t>
      </w:r>
    </w:p>
    <w:p>
      <w:pPr>
        <w:pStyle w:val="BodyText"/>
        <w:rPr>
          <w:sz w:val="19"/>
        </w:rPr>
      </w:pPr>
    </w:p>
    <w:p>
      <w:pPr>
        <w:spacing w:line="235" w:lineRule="auto" w:before="0"/>
        <w:ind w:left="546" w:right="89" w:firstLine="0"/>
        <w:jc w:val="left"/>
        <w:rPr>
          <w:sz w:val="20"/>
        </w:rPr>
      </w:pPr>
      <w:r>
        <w:rPr>
          <w:b/>
          <w:sz w:val="20"/>
        </w:rPr>
        <w:t>Persons in authority </w:t>
      </w:r>
      <w:r>
        <w:rPr>
          <w:sz w:val="20"/>
        </w:rPr>
        <w:t>CRABTREE, Robert</w:t>
      </w:r>
      <w:r>
        <w:rPr>
          <w:spacing w:val="-10"/>
          <w:sz w:val="20"/>
        </w:rPr>
        <w:t> </w:t>
      </w:r>
      <w:r>
        <w:rPr>
          <w:sz w:val="20"/>
        </w:rPr>
        <w:t>John GREEDY, Brett</w:t>
      </w:r>
      <w:r>
        <w:rPr>
          <w:spacing w:val="-5"/>
          <w:sz w:val="20"/>
        </w:rPr>
        <w:t> </w:t>
      </w:r>
      <w:r>
        <w:rPr>
          <w:sz w:val="20"/>
        </w:rPr>
        <w:t>William</w:t>
      </w:r>
    </w:p>
    <w:p>
      <w:pPr>
        <w:pStyle w:val="BodyText"/>
        <w:spacing w:before="4"/>
        <w:rPr>
          <w:sz w:val="19"/>
        </w:rPr>
      </w:pPr>
    </w:p>
    <w:p>
      <w:pPr>
        <w:spacing w:line="235" w:lineRule="auto" w:before="0"/>
        <w:ind w:left="546" w:right="89" w:firstLine="0"/>
        <w:jc w:val="left"/>
        <w:rPr>
          <w:sz w:val="20"/>
        </w:rPr>
      </w:pPr>
      <w:r>
        <w:rPr>
          <w:b/>
          <w:sz w:val="20"/>
        </w:rPr>
        <w:t>Nominee brokers </w:t>
      </w:r>
      <w:r>
        <w:rPr>
          <w:sz w:val="20"/>
        </w:rPr>
        <w:t>CRABTREE, Robert</w:t>
      </w:r>
      <w:r>
        <w:rPr>
          <w:spacing w:val="-10"/>
          <w:sz w:val="20"/>
        </w:rPr>
        <w:t> </w:t>
      </w:r>
      <w:r>
        <w:rPr>
          <w:sz w:val="20"/>
        </w:rPr>
        <w:t>John GREEDY, Brett</w:t>
      </w:r>
      <w:r>
        <w:rPr>
          <w:spacing w:val="-5"/>
          <w:sz w:val="20"/>
        </w:rPr>
        <w:t> </w:t>
      </w:r>
      <w:r>
        <w:rPr>
          <w:sz w:val="20"/>
        </w:rPr>
        <w:t>William</w:t>
      </w:r>
    </w:p>
    <w:p>
      <w:pPr>
        <w:pStyle w:val="BodyText"/>
        <w:spacing w:line="235" w:lineRule="auto" w:before="68"/>
        <w:ind w:left="264" w:right="2063"/>
      </w:pPr>
      <w:r>
        <w:rPr/>
        <w:br w:type="column"/>
      </w:r>
      <w:r>
        <w:rPr/>
        <w:t>HYPERLINK FREIGHT Pty Ltd ABN 64 168 984 343</w:t>
      </w:r>
    </w:p>
    <w:p>
      <w:pPr>
        <w:pStyle w:val="BodyText"/>
        <w:spacing w:line="235" w:lineRule="auto"/>
        <w:ind w:left="264" w:right="2063"/>
      </w:pPr>
      <w:r>
        <w:rPr/>
        <w:t>14/20-24 Dalcassia Street HURSTVILLE NSW 2220</w:t>
      </w:r>
    </w:p>
    <w:p>
      <w:pPr>
        <w:pStyle w:val="BodyText"/>
        <w:spacing w:before="8"/>
        <w:rPr>
          <w:sz w:val="18"/>
        </w:rPr>
      </w:pPr>
    </w:p>
    <w:p>
      <w:pPr>
        <w:pStyle w:val="Heading1"/>
        <w:spacing w:line="237" w:lineRule="exact"/>
      </w:pPr>
      <w:r>
        <w:rPr/>
        <w:t>Person in authority</w:t>
      </w:r>
    </w:p>
    <w:p>
      <w:pPr>
        <w:pStyle w:val="BodyText"/>
        <w:spacing w:line="233" w:lineRule="exact"/>
        <w:ind w:left="264"/>
      </w:pPr>
      <w:r>
        <w:rPr/>
        <w:t>GUO, Jing</w:t>
      </w:r>
    </w:p>
    <w:p>
      <w:pPr>
        <w:pStyle w:val="BodyText"/>
        <w:spacing w:before="10"/>
        <w:rPr>
          <w:sz w:val="18"/>
        </w:rPr>
      </w:pPr>
    </w:p>
    <w:p>
      <w:pPr>
        <w:pStyle w:val="Heading1"/>
        <w:spacing w:line="237" w:lineRule="exact"/>
      </w:pPr>
      <w:r>
        <w:rPr/>
        <w:t>Nominee broker</w:t>
      </w:r>
    </w:p>
    <w:p>
      <w:pPr>
        <w:pStyle w:val="BodyText"/>
        <w:spacing w:line="233" w:lineRule="exact"/>
        <w:ind w:left="264"/>
      </w:pPr>
      <w:r>
        <w:rPr/>
        <w:t>ZHONG, Yingying</w:t>
      </w:r>
    </w:p>
    <w:p>
      <w:pPr>
        <w:spacing w:after="0" w:line="233" w:lineRule="exact"/>
        <w:sectPr>
          <w:type w:val="continuous"/>
          <w:pgSz w:w="11900" w:h="16840"/>
          <w:pgMar w:top="1140" w:bottom="280" w:left="180" w:right="160"/>
          <w:cols w:num="3" w:equalWidth="0">
            <w:col w:w="3453" w:space="40"/>
            <w:col w:w="2935" w:space="39"/>
            <w:col w:w="5093"/>
          </w:cols>
        </w:sectPr>
      </w:pPr>
    </w:p>
    <w:p>
      <w:pPr>
        <w:pStyle w:val="BodyText"/>
      </w:pPr>
    </w:p>
    <w:p>
      <w:pPr>
        <w:pStyle w:val="BodyText"/>
      </w:pPr>
    </w:p>
    <w:p>
      <w:pPr>
        <w:pStyle w:val="BodyText"/>
        <w:spacing w:before="6"/>
        <w:rPr>
          <w:sz w:val="18"/>
        </w:rPr>
      </w:pPr>
    </w:p>
    <w:p>
      <w:pPr>
        <w:pStyle w:val="BodyText"/>
        <w:spacing w:line="235" w:lineRule="auto"/>
        <w:ind w:left="1521" w:right="2092"/>
      </w:pPr>
      <w:r>
        <w:rPr/>
        <w:t>Any person wishing to make written representation in respect of these applications should address the correspondence by Wednesday 16 July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7" w:lineRule="exact"/>
        <w:ind w:left="1521"/>
      </w:pPr>
      <w:r>
        <w:rPr/>
        <w:t>5 Constitution Avenue</w:t>
      </w:r>
    </w:p>
    <w:p>
      <w:pPr>
        <w:pStyle w:val="BodyText"/>
        <w:spacing w:line="233" w:lineRule="exact"/>
        <w:ind w:left="1521"/>
      </w:pPr>
      <w:r>
        <w:rPr/>
        <w:t>CANBERRA ACT 2601</w:t>
      </w:r>
    </w:p>
    <w:p>
      <w:pPr>
        <w:pStyle w:val="BodyText"/>
        <w:spacing w:before="7"/>
        <w:rPr>
          <w:sz w:val="25"/>
        </w:rPr>
      </w:pPr>
      <w:r>
        <w:rPr/>
        <w:br w:type="column"/>
      </w:r>
      <w:r>
        <w:rPr>
          <w:sz w:val="25"/>
        </w:rPr>
      </w:r>
    </w:p>
    <w:p>
      <w:pPr>
        <w:pStyle w:val="BodyText"/>
        <w:spacing w:before="1"/>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44"/>
            <w:col w:w="7216"/>
          </w:cols>
        </w:sectPr>
      </w:pPr>
    </w:p>
    <w:p>
      <w:pPr>
        <w:pStyle w:val="BodyText"/>
        <w:rPr>
          <w:sz w:val="15"/>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pPr>
    </w:p>
    <w:p>
      <w:pPr>
        <w:pStyle w:val="BodyText"/>
        <w:spacing w:before="4"/>
        <w:rPr>
          <w:sz w:val="29"/>
        </w:rPr>
      </w:pPr>
    </w:p>
    <w:p>
      <w:pPr>
        <w:pStyle w:val="BodyText"/>
        <w:ind w:left="1521"/>
      </w:pPr>
      <w:r>
        <w:rPr/>
        <w:t>[Signed]</w:t>
      </w:r>
    </w:p>
    <w:p>
      <w:pPr>
        <w:pStyle w:val="BodyText"/>
      </w:pPr>
    </w:p>
    <w:p>
      <w:pPr>
        <w:pStyle w:val="BodyText"/>
        <w:spacing w:before="11"/>
        <w:rPr>
          <w:sz w:val="19"/>
        </w:rPr>
      </w:pPr>
    </w:p>
    <w:p>
      <w:pPr>
        <w:pStyle w:val="BodyText"/>
        <w:spacing w:line="235" w:lineRule="auto"/>
        <w:ind w:left="1521" w:right="8922"/>
      </w:pPr>
      <w:r>
        <w:rPr/>
        <w:t>John</w:t>
      </w:r>
      <w:r>
        <w:rPr>
          <w:spacing w:val="-15"/>
        </w:rPr>
        <w:t> </w:t>
      </w:r>
      <w:r>
        <w:rPr/>
        <w:t>Arndell Director</w:t>
      </w:r>
    </w:p>
    <w:p>
      <w:pPr>
        <w:pStyle w:val="BodyText"/>
        <w:spacing w:line="235" w:lineRule="auto"/>
        <w:ind w:left="1521" w:right="6672"/>
      </w:pPr>
      <w:r>
        <w:rPr/>
        <w:t>Cargo Reporting Policy and Licensing CANBERRA ACT</w:t>
      </w:r>
    </w:p>
    <w:p>
      <w:pPr>
        <w:pStyle w:val="BodyText"/>
        <w:spacing w:line="231" w:lineRule="exact"/>
        <w:ind w:left="1521"/>
      </w:pPr>
      <w:r>
        <w:rPr/>
        <w:t>30 June 2014</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264"/>
      <w:outlineLvl w:val="1"/>
    </w:pPr>
    <w:rPr>
      <w:rFonts w:ascii="Helvetica" w:hAnsi="Helvetica" w:eastAsia="Helvetica" w:cs="Helvetica"/>
      <w:b/>
      <w:bCs/>
      <w:sz w:val="20"/>
      <w:szCs w:val="20"/>
    </w:rPr>
  </w:style>
  <w:style w:styleId="Title" w:type="paragraph">
    <w:name w:val="Title"/>
    <w:basedOn w:val="Normal"/>
    <w:uiPriority w:val="1"/>
    <w:qFormat/>
    <w:pPr>
      <w:spacing w:before="57"/>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- 2014-30</dc:title>
  <dcterms:created xsi:type="dcterms:W3CDTF">2020-12-09T22:18:21Z</dcterms:created>
  <dcterms:modified xsi:type="dcterms:W3CDTF">2020-12-09T22:18:21Z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PScript5.dll Version 5.2.2</vt:lpwstr>
  </property>
  <property fmtid="{D5CDD505-2E9C-101B-9397-08002B2CF9AE}" pid="4" name="LastSaved">
    <vt:filetime>2020-12-09T00:00:00Z</vt:filetime>
  </property>
</Properties>
</file>