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-222"/>
        <w:rPr>
          <w:rFonts w:ascii="Times New Roman"/>
          <w:sz w:val="2"/>
        </w:rPr>
      </w:pPr>
      <w:r>
        <w:rPr/>
        <w:pict>
          <v:line style="position:absolute;mso-position-horizontal-relative:page;mso-position-vertical-relative:page;z-index:-15777792" from="14.424206pt,142.736069pt" to="584.661148pt,142.736069pt" stroked="true" strokeweight="6.968596pt" strokecolor="#000000">
            <v:stroke dashstyle="solid"/>
            <w10:wrap type="none"/>
          </v:line>
        </w:pict>
      </w:r>
      <w:r>
        <w:rPr>
          <w:rFonts w:ascii="Times New Roman"/>
          <w:sz w:val="2"/>
        </w:rPr>
        <w:pict>
          <v:group style="width:242.35pt;height:.75pt;mso-position-horizontal-relative:char;mso-position-vertical-relative:line" coordorigin="0,0" coordsize="4847,15">
            <v:line style="position:absolute" from="0,7" to="4847,7" stroked="true" strokeweight=".720889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0" w:lineRule="exact"/>
        <w:ind w:left="636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18.3pt;height:.25pt;mso-position-horizontal-relative:char;mso-position-vertical-relative:line" coordorigin="0,0" coordsize="2366,5">
            <v:line style="position:absolute" from="0,2" to="2366,2" stroked="true" strokeweight=".240296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54"/>
        <w:ind w:left="1607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732749</wp:posOffset>
            </wp:positionH>
            <wp:positionV relativeFrom="paragraph">
              <wp:posOffset>920</wp:posOffset>
            </wp:positionV>
            <wp:extent cx="879299" cy="6347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299" cy="634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rFonts w:ascii="Times New Roman"/>
          <w:color w:val="1A3656"/>
          <w:w w:val="95"/>
          <w:u w:val="thick" w:color="1A3656"/>
        </w:rPr>
        <w:t>Australian</w:t>
      </w:r>
      <w:r>
        <w:rPr>
          <w:rFonts w:ascii="Times New Roman"/>
          <w:color w:val="1A3656"/>
          <w:spacing w:val="-18"/>
          <w:w w:val="95"/>
          <w:u w:val="thick" w:color="1A3656"/>
        </w:rPr>
        <w:t> </w:t>
      </w:r>
      <w:r>
        <w:rPr>
          <w:rFonts w:ascii="Times New Roman"/>
          <w:color w:val="1A3656"/>
          <w:w w:val="95"/>
          <w:u w:val="thick" w:color="1A3656"/>
        </w:rPr>
        <w:t>Government</w:t>
      </w:r>
    </w:p>
    <w:p>
      <w:pPr>
        <w:spacing w:line="273" w:lineRule="auto" w:before="145"/>
        <w:ind w:left="1604" w:right="4505" w:firstLine="3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1A3656"/>
          <w:w w:val="105"/>
          <w:sz w:val="23"/>
        </w:rPr>
        <w:t>Australian Customs and Border</w:t>
      </w:r>
      <w:r>
        <w:rPr>
          <w:rFonts w:ascii="Times New Roman"/>
          <w:b/>
          <w:color w:val="1A3656"/>
          <w:spacing w:val="-33"/>
          <w:w w:val="105"/>
          <w:sz w:val="23"/>
        </w:rPr>
        <w:t> </w:t>
      </w:r>
      <w:r>
        <w:rPr>
          <w:rFonts w:ascii="Times New Roman"/>
          <w:b/>
          <w:color w:val="1A3656"/>
          <w:w w:val="105"/>
          <w:sz w:val="23"/>
        </w:rPr>
        <w:t>Protection</w:t>
      </w:r>
      <w:r>
        <w:rPr>
          <w:rFonts w:ascii="Times New Roman"/>
          <w:b/>
          <w:color w:val="1A3656"/>
          <w:spacing w:val="-24"/>
          <w:w w:val="105"/>
          <w:sz w:val="23"/>
        </w:rPr>
        <w:t> </w:t>
      </w:r>
      <w:r>
        <w:rPr>
          <w:rFonts w:ascii="Times New Roman"/>
          <w:b/>
          <w:color w:val="1A3656"/>
          <w:w w:val="105"/>
          <w:sz w:val="23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Heading1"/>
        <w:spacing w:line="252" w:lineRule="auto"/>
        <w:ind w:right="376" w:firstLine="0"/>
        <w:jc w:val="center"/>
      </w:pPr>
      <w:r>
        <w:rPr>
          <w:color w:val="2F3131"/>
        </w:rPr>
        <w:t>AUSTRALIAN CUSTOMS AND BORDER PROTECTION NOTICE NO. 2014/49</w:t>
      </w:r>
    </w:p>
    <w:p>
      <w:pPr>
        <w:pStyle w:val="BodyText"/>
        <w:spacing w:before="10"/>
        <w:rPr>
          <w:b/>
          <w:sz w:val="25"/>
        </w:rPr>
      </w:pPr>
      <w:r>
        <w:rPr/>
        <w:pict>
          <v:shape style="position:absolute;margin-left:83.660393pt;margin-top:17.079576pt;width:429.85pt;height:.1pt;mso-position-horizontal-relative:page;mso-position-vertical-relative:paragraph;z-index:-15727616;mso-wrap-distance-left:0;mso-wrap-distance-right:0" coordorigin="1673,342" coordsize="8597,0" path="m1673,342l10270,342e" filled="false" stroked="true" strokeweight=".480593pt" strokecolor="#000000">
            <v:path arrowok="t"/>
            <v:stroke dashstyle="solid"/>
            <w10:wrap type="topAndBottom"/>
          </v:shape>
        </w:pict>
      </w:r>
    </w:p>
    <w:p>
      <w:pPr>
        <w:spacing w:before="259"/>
        <w:ind w:left="842" w:right="376" w:firstLine="0"/>
        <w:jc w:val="center"/>
        <w:rPr>
          <w:sz w:val="23"/>
        </w:rPr>
      </w:pPr>
      <w:r>
        <w:rPr>
          <w:b/>
          <w:color w:val="2F3131"/>
          <w:w w:val="105"/>
          <w:sz w:val="23"/>
        </w:rPr>
        <w:t>Labelling Requirements for Pharmaceutical Goods </w:t>
      </w:r>
      <w:r>
        <w:rPr>
          <w:color w:val="2F3131"/>
          <w:w w:val="105"/>
          <w:sz w:val="23"/>
        </w:rPr>
        <w:t>-</w:t>
      </w:r>
    </w:p>
    <w:p>
      <w:pPr>
        <w:spacing w:before="10"/>
        <w:ind w:left="887" w:right="376" w:firstLine="0"/>
        <w:jc w:val="center"/>
        <w:rPr>
          <w:b/>
          <w:sz w:val="23"/>
        </w:rPr>
      </w:pPr>
      <w:r>
        <w:rPr>
          <w:b/>
          <w:color w:val="1F1F1F"/>
          <w:w w:val="105"/>
          <w:sz w:val="23"/>
        </w:rPr>
        <w:t>Including </w:t>
      </w:r>
      <w:r>
        <w:rPr>
          <w:b/>
          <w:color w:val="2F3131"/>
          <w:w w:val="105"/>
          <w:sz w:val="23"/>
        </w:rPr>
        <w:t>Medicine</w:t>
      </w:r>
    </w:p>
    <w:p>
      <w:pPr>
        <w:pStyle w:val="BodyText"/>
        <w:spacing w:before="7"/>
        <w:rPr>
          <w:b/>
          <w:sz w:val="21"/>
        </w:rPr>
      </w:pPr>
    </w:p>
    <w:p>
      <w:pPr>
        <w:spacing w:line="247" w:lineRule="auto" w:before="0"/>
        <w:ind w:left="664" w:right="0" w:hanging="2"/>
        <w:jc w:val="left"/>
        <w:rPr>
          <w:sz w:val="19"/>
        </w:rPr>
      </w:pPr>
      <w:r>
        <w:rPr>
          <w:color w:val="2F3131"/>
          <w:w w:val="105"/>
          <w:sz w:val="19"/>
        </w:rPr>
        <w:t>The Australian Customs and Border Protection Service </w:t>
      </w:r>
      <w:r>
        <w:rPr>
          <w:color w:val="3F4242"/>
          <w:w w:val="105"/>
          <w:sz w:val="19"/>
        </w:rPr>
        <w:t>(ACBPS) </w:t>
      </w:r>
      <w:r>
        <w:rPr>
          <w:color w:val="2F3131"/>
          <w:w w:val="105"/>
          <w:sz w:val="19"/>
        </w:rPr>
        <w:t>administer the labelling requirements for </w:t>
      </w:r>
      <w:r>
        <w:rPr>
          <w:color w:val="3F4242"/>
          <w:w w:val="105"/>
          <w:sz w:val="19"/>
        </w:rPr>
        <w:t>imported </w:t>
      </w:r>
      <w:r>
        <w:rPr>
          <w:color w:val="2F3131"/>
          <w:w w:val="105"/>
          <w:sz w:val="19"/>
        </w:rPr>
        <w:t>goods under the </w:t>
      </w:r>
      <w:r>
        <w:rPr>
          <w:i/>
          <w:color w:val="3F4242"/>
          <w:w w:val="105"/>
          <w:sz w:val="19"/>
        </w:rPr>
        <w:t>Commerce </w:t>
      </w:r>
      <w:r>
        <w:rPr>
          <w:i/>
          <w:color w:val="2F3131"/>
          <w:w w:val="105"/>
          <w:sz w:val="19"/>
        </w:rPr>
        <w:t>Trade Descriptions Act 1905 </w:t>
      </w:r>
      <w:r>
        <w:rPr>
          <w:color w:val="3F4242"/>
          <w:w w:val="105"/>
          <w:sz w:val="19"/>
        </w:rPr>
        <w:t>(the </w:t>
      </w:r>
      <w:r>
        <w:rPr>
          <w:color w:val="2F3131"/>
          <w:w w:val="105"/>
          <w:sz w:val="19"/>
        </w:rPr>
        <w:t>CTDA) and the </w:t>
      </w:r>
      <w:r>
        <w:rPr>
          <w:i/>
          <w:color w:val="2F3131"/>
          <w:w w:val="105"/>
          <w:sz w:val="19"/>
        </w:rPr>
        <w:t>Commerce (Imports) Regulations 1940 </w:t>
      </w:r>
      <w:r>
        <w:rPr>
          <w:color w:val="3F4242"/>
          <w:w w:val="105"/>
          <w:sz w:val="19"/>
        </w:rPr>
        <w:t>(the </w:t>
      </w:r>
      <w:r>
        <w:rPr>
          <w:color w:val="2F3131"/>
          <w:w w:val="105"/>
          <w:sz w:val="19"/>
        </w:rPr>
        <w:t>Regulations) at the border.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54" w:lineRule="auto"/>
        <w:ind w:left="659" w:right="173" w:firstLine="3"/>
      </w:pPr>
      <w:r>
        <w:rPr>
          <w:color w:val="3F4242"/>
          <w:w w:val="105"/>
        </w:rPr>
        <w:t>The </w:t>
      </w:r>
      <w:r>
        <w:rPr>
          <w:color w:val="2F3131"/>
          <w:w w:val="105"/>
        </w:rPr>
        <w:t>CTDA prohibits </w:t>
      </w:r>
      <w:r>
        <w:rPr>
          <w:color w:val="3F4242"/>
          <w:w w:val="105"/>
        </w:rPr>
        <w:t>the </w:t>
      </w:r>
      <w:r>
        <w:rPr>
          <w:color w:val="2F3131"/>
          <w:w w:val="105"/>
        </w:rPr>
        <w:t>importation of certain goods if a false trade </w:t>
      </w:r>
      <w:r>
        <w:rPr>
          <w:color w:val="3F4242"/>
          <w:w w:val="105"/>
        </w:rPr>
        <w:t>description is </w:t>
      </w:r>
      <w:r>
        <w:rPr>
          <w:color w:val="2F3131"/>
          <w:w w:val="105"/>
        </w:rPr>
        <w:t>applied. The Regulations outline labelling requirements </w:t>
      </w:r>
      <w:r>
        <w:rPr>
          <w:color w:val="3F4242"/>
          <w:w w:val="105"/>
        </w:rPr>
        <w:t>in </w:t>
      </w:r>
      <w:r>
        <w:rPr>
          <w:color w:val="2F3131"/>
          <w:w w:val="105"/>
        </w:rPr>
        <w:t>relation </w:t>
      </w:r>
      <w:r>
        <w:rPr>
          <w:color w:val="3F4242"/>
          <w:w w:val="105"/>
        </w:rPr>
        <w:t>to </w:t>
      </w:r>
      <w:r>
        <w:rPr>
          <w:color w:val="2F3131"/>
          <w:w w:val="105"/>
        </w:rPr>
        <w:t>different types of imported goods </w:t>
      </w:r>
      <w:r>
        <w:rPr>
          <w:color w:val="3F4242"/>
          <w:w w:val="105"/>
        </w:rPr>
        <w:t>(for </w:t>
      </w:r>
      <w:r>
        <w:rPr>
          <w:color w:val="2F3131"/>
          <w:w w:val="105"/>
        </w:rPr>
        <w:t>example, specifying </w:t>
      </w:r>
      <w:r>
        <w:rPr>
          <w:color w:val="3F4242"/>
          <w:w w:val="105"/>
        </w:rPr>
        <w:t>that </w:t>
      </w:r>
      <w:r>
        <w:rPr>
          <w:color w:val="2F3131"/>
          <w:w w:val="105"/>
        </w:rPr>
        <w:t>a country of origin and/or a </w:t>
      </w:r>
      <w:r>
        <w:rPr>
          <w:color w:val="3F4242"/>
          <w:w w:val="105"/>
        </w:rPr>
        <w:t>true </w:t>
      </w:r>
      <w:r>
        <w:rPr>
          <w:color w:val="2F3131"/>
          <w:w w:val="105"/>
        </w:rPr>
        <w:t>description must be </w:t>
      </w:r>
      <w:r>
        <w:rPr>
          <w:color w:val="3F4242"/>
          <w:w w:val="105"/>
        </w:rPr>
        <w:t>displayed </w:t>
      </w:r>
      <w:r>
        <w:rPr>
          <w:color w:val="2F3131"/>
          <w:w w:val="105"/>
        </w:rPr>
        <w:t>on certain </w:t>
      </w:r>
      <w:r>
        <w:rPr>
          <w:color w:val="3F4242"/>
          <w:w w:val="105"/>
        </w:rPr>
        <w:t>goods).</w:t>
      </w:r>
    </w:p>
    <w:p>
      <w:pPr>
        <w:pStyle w:val="BodyText"/>
        <w:spacing w:before="9"/>
      </w:pPr>
    </w:p>
    <w:p>
      <w:pPr>
        <w:pStyle w:val="BodyText"/>
        <w:spacing w:line="254" w:lineRule="auto"/>
        <w:ind w:left="657" w:right="173"/>
      </w:pPr>
      <w:r>
        <w:rPr>
          <w:color w:val="2F3131"/>
          <w:w w:val="105"/>
        </w:rPr>
        <w:t>The importation of therapeutic goods, as </w:t>
      </w:r>
      <w:r>
        <w:rPr>
          <w:color w:val="3F4242"/>
          <w:w w:val="105"/>
        </w:rPr>
        <w:t>well </w:t>
      </w:r>
      <w:r>
        <w:rPr>
          <w:color w:val="2F3131"/>
          <w:w w:val="105"/>
        </w:rPr>
        <w:t>as the subsequent </w:t>
      </w:r>
      <w:r>
        <w:rPr>
          <w:color w:val="3F4242"/>
          <w:w w:val="105"/>
        </w:rPr>
        <w:t>domestic </w:t>
      </w:r>
      <w:r>
        <w:rPr>
          <w:color w:val="2F3131"/>
          <w:w w:val="105"/>
        </w:rPr>
        <w:t>supply </w:t>
      </w:r>
      <w:r>
        <w:rPr>
          <w:color w:val="3F4242"/>
          <w:w w:val="105"/>
        </w:rPr>
        <w:t>is </w:t>
      </w:r>
      <w:r>
        <w:rPr>
          <w:color w:val="2F3131"/>
          <w:w w:val="105"/>
        </w:rPr>
        <w:t>also controlled under the </w:t>
      </w:r>
      <w:r>
        <w:rPr>
          <w:i/>
          <w:color w:val="2F3131"/>
          <w:w w:val="105"/>
        </w:rPr>
        <w:t>Therapeutic Goods Act </w:t>
      </w:r>
      <w:r>
        <w:rPr>
          <w:i/>
          <w:color w:val="3F4242"/>
          <w:w w:val="105"/>
        </w:rPr>
        <w:t>1989 </w:t>
      </w:r>
      <w:r>
        <w:rPr>
          <w:color w:val="2F3131"/>
          <w:w w:val="105"/>
        </w:rPr>
        <w:t>(the TG Act) for which the Therapeutic Goods Administration </w:t>
      </w:r>
      <w:r>
        <w:rPr>
          <w:color w:val="3F4242"/>
          <w:w w:val="105"/>
        </w:rPr>
        <w:t>(TGA) </w:t>
      </w:r>
      <w:r>
        <w:rPr>
          <w:color w:val="2F3131"/>
          <w:w w:val="105"/>
        </w:rPr>
        <w:t>has policy responsibility.</w:t>
      </w:r>
    </w:p>
    <w:p>
      <w:pPr>
        <w:pStyle w:val="BodyText"/>
        <w:spacing w:before="9"/>
      </w:pPr>
    </w:p>
    <w:p>
      <w:pPr>
        <w:spacing w:line="254" w:lineRule="auto" w:before="0"/>
        <w:ind w:left="650" w:right="0" w:firstLine="7"/>
        <w:jc w:val="left"/>
        <w:rPr>
          <w:sz w:val="19"/>
        </w:rPr>
      </w:pPr>
      <w:r>
        <w:rPr>
          <w:color w:val="2F3131"/>
          <w:w w:val="105"/>
          <w:sz w:val="19"/>
        </w:rPr>
        <w:t>Labelling requirements </w:t>
      </w:r>
      <w:r>
        <w:rPr>
          <w:color w:val="3F4242"/>
          <w:w w:val="105"/>
          <w:sz w:val="19"/>
        </w:rPr>
        <w:t>for </w:t>
      </w:r>
      <w:r>
        <w:rPr>
          <w:color w:val="2F3131"/>
          <w:w w:val="105"/>
          <w:sz w:val="19"/>
        </w:rPr>
        <w:t>pharmaceuticals are set out in </w:t>
      </w:r>
      <w:r>
        <w:rPr>
          <w:i/>
          <w:color w:val="2F3131"/>
          <w:w w:val="105"/>
          <w:sz w:val="19"/>
        </w:rPr>
        <w:t>Therapeutic Goods Order No. 69 </w:t>
      </w:r>
      <w:r>
        <w:rPr>
          <w:color w:val="2F3131"/>
          <w:w w:val="105"/>
          <w:sz w:val="19"/>
        </w:rPr>
        <w:t>- </w:t>
      </w:r>
      <w:r>
        <w:rPr>
          <w:i/>
          <w:color w:val="2F3131"/>
          <w:w w:val="105"/>
          <w:sz w:val="19"/>
        </w:rPr>
        <w:t>General Requirements for Labels for Medicines </w:t>
      </w:r>
      <w:r>
        <w:rPr>
          <w:color w:val="2F3131"/>
          <w:w w:val="105"/>
          <w:sz w:val="19"/>
        </w:rPr>
        <w:t>(TGO 69), </w:t>
      </w:r>
      <w:r>
        <w:rPr>
          <w:color w:val="3F4242"/>
          <w:w w:val="105"/>
          <w:sz w:val="19"/>
        </w:rPr>
        <w:t>issued </w:t>
      </w:r>
      <w:r>
        <w:rPr>
          <w:color w:val="2F3131"/>
          <w:w w:val="105"/>
          <w:sz w:val="19"/>
        </w:rPr>
        <w:t>under the </w:t>
      </w:r>
      <w:r>
        <w:rPr>
          <w:color w:val="3F4242"/>
          <w:w w:val="105"/>
          <w:sz w:val="19"/>
        </w:rPr>
        <w:t>TG </w:t>
      </w:r>
      <w:r>
        <w:rPr>
          <w:color w:val="2F3131"/>
          <w:w w:val="105"/>
          <w:sz w:val="19"/>
        </w:rPr>
        <w:t>Act. Under TGO 69, country of origin </w:t>
      </w:r>
      <w:r>
        <w:rPr>
          <w:color w:val="3F4242"/>
          <w:w w:val="105"/>
          <w:sz w:val="19"/>
        </w:rPr>
        <w:t>information </w:t>
      </w:r>
      <w:r>
        <w:rPr>
          <w:color w:val="2F3131"/>
          <w:w w:val="105"/>
          <w:sz w:val="19"/>
        </w:rPr>
        <w:t>is not a matter that is required to be on </w:t>
      </w:r>
      <w:r>
        <w:rPr>
          <w:color w:val="3F4242"/>
          <w:w w:val="105"/>
          <w:sz w:val="19"/>
        </w:rPr>
        <w:t>the</w:t>
      </w:r>
      <w:r>
        <w:rPr>
          <w:color w:val="3F4242"/>
          <w:spacing w:val="51"/>
          <w:w w:val="105"/>
          <w:sz w:val="19"/>
        </w:rPr>
        <w:t> </w:t>
      </w:r>
      <w:r>
        <w:rPr>
          <w:color w:val="2F3131"/>
          <w:w w:val="105"/>
          <w:sz w:val="19"/>
        </w:rPr>
        <w:t>label.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654" w:hanging="2"/>
      </w:pPr>
      <w:r>
        <w:rPr>
          <w:color w:val="2F3131"/>
          <w:w w:val="105"/>
        </w:rPr>
        <w:t>The Regulations are currently scheduled for sunsetting in April 2016 under the </w:t>
      </w:r>
      <w:r>
        <w:rPr>
          <w:color w:val="3F4242"/>
          <w:w w:val="105"/>
        </w:rPr>
        <w:t>sunsetting </w:t>
      </w:r>
      <w:r>
        <w:rPr>
          <w:color w:val="2F3131"/>
          <w:w w:val="105"/>
        </w:rPr>
        <w:t>provisions of the </w:t>
      </w:r>
      <w:r>
        <w:rPr>
          <w:i/>
          <w:color w:val="2F3131"/>
          <w:w w:val="105"/>
        </w:rPr>
        <w:t>Legislative Instruments Act 2003, </w:t>
      </w:r>
      <w:r>
        <w:rPr>
          <w:color w:val="2F3131"/>
          <w:w w:val="105"/>
        </w:rPr>
        <w:t>unless re-negotiated and re-enacted.</w:t>
      </w:r>
    </w:p>
    <w:p>
      <w:pPr>
        <w:pStyle w:val="BodyText"/>
        <w:rPr>
          <w:sz w:val="21"/>
        </w:rPr>
      </w:pPr>
    </w:p>
    <w:p>
      <w:pPr>
        <w:pStyle w:val="BodyText"/>
        <w:spacing w:line="254" w:lineRule="auto"/>
        <w:ind w:left="649" w:right="173" w:hanging="2"/>
      </w:pPr>
      <w:r>
        <w:rPr>
          <w:color w:val="2F3131"/>
          <w:w w:val="105"/>
        </w:rPr>
        <w:t>At this time, ACBPS will ensure that any provisions subsequently </w:t>
      </w:r>
      <w:r>
        <w:rPr>
          <w:color w:val="3F4242"/>
          <w:w w:val="105"/>
        </w:rPr>
        <w:t>re-enacted </w:t>
      </w:r>
      <w:r>
        <w:rPr>
          <w:color w:val="2F3131"/>
          <w:w w:val="105"/>
        </w:rPr>
        <w:t>will be in </w:t>
      </w:r>
      <w:r>
        <w:rPr>
          <w:color w:val="3F4242"/>
          <w:w w:val="105"/>
        </w:rPr>
        <w:t>line </w:t>
      </w:r>
      <w:r>
        <w:rPr>
          <w:color w:val="2F3131"/>
          <w:w w:val="105"/>
        </w:rPr>
        <w:t>with the current Australian Government policy.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646" w:hanging="2"/>
      </w:pPr>
      <w:r>
        <w:rPr>
          <w:color w:val="2F3131"/>
          <w:w w:val="105"/>
        </w:rPr>
        <w:t>In the interim, ACBPS will cease to enforce the CTDA and the Regulations regarding country of origin </w:t>
      </w:r>
      <w:r>
        <w:rPr>
          <w:color w:val="1F1F1F"/>
          <w:w w:val="105"/>
        </w:rPr>
        <w:t>labelling </w:t>
      </w:r>
      <w:r>
        <w:rPr>
          <w:color w:val="2F3131"/>
          <w:w w:val="105"/>
        </w:rPr>
        <w:t>on imported pharmaceutical products.</w:t>
      </w:r>
    </w:p>
    <w:p>
      <w:pPr>
        <w:pStyle w:val="BodyText"/>
      </w:pPr>
    </w:p>
    <w:p>
      <w:pPr>
        <w:pStyle w:val="BodyText"/>
        <w:spacing w:line="254" w:lineRule="auto" w:before="1"/>
        <w:ind w:left="641" w:right="173" w:firstLine="7"/>
      </w:pPr>
      <w:r>
        <w:rPr>
          <w:color w:val="1F1F1F"/>
          <w:w w:val="105"/>
        </w:rPr>
        <w:t>Importers </w:t>
      </w:r>
      <w:r>
        <w:rPr>
          <w:color w:val="2F3131"/>
          <w:w w:val="105"/>
        </w:rPr>
        <w:t>will still be expected to satisfy the </w:t>
      </w:r>
      <w:r>
        <w:rPr>
          <w:color w:val="1F1F1F"/>
          <w:w w:val="105"/>
        </w:rPr>
        <w:t>requirements </w:t>
      </w:r>
      <w:r>
        <w:rPr>
          <w:color w:val="2F3131"/>
          <w:w w:val="105"/>
        </w:rPr>
        <w:t>of the </w:t>
      </w:r>
      <w:r>
        <w:rPr>
          <w:i/>
          <w:color w:val="2F3131"/>
          <w:w w:val="105"/>
        </w:rPr>
        <w:t>Therapeutic Goods Act 1989 </w:t>
      </w:r>
      <w:r>
        <w:rPr>
          <w:color w:val="2F3131"/>
          <w:w w:val="105"/>
        </w:rPr>
        <w:t>and TGO 69 when </w:t>
      </w:r>
      <w:r>
        <w:rPr>
          <w:color w:val="3F4242"/>
          <w:w w:val="105"/>
        </w:rPr>
        <w:t>importing </w:t>
      </w:r>
      <w:r>
        <w:rPr>
          <w:color w:val="2F3131"/>
          <w:w w:val="105"/>
        </w:rPr>
        <w:t>and supplying pharmaceutical products and, under the CTDA, will still be required to provide a true and accurate description of the goods on the packaging which will not mislead a consumer as </w:t>
      </w:r>
      <w:r>
        <w:rPr>
          <w:color w:val="3F4242"/>
          <w:w w:val="105"/>
        </w:rPr>
        <w:t>to </w:t>
      </w:r>
      <w:r>
        <w:rPr>
          <w:color w:val="2F3131"/>
          <w:w w:val="105"/>
        </w:rPr>
        <w:t>the nature of the goods.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52" w:lineRule="auto"/>
        <w:ind w:left="640" w:hanging="1"/>
      </w:pPr>
      <w:r>
        <w:rPr>
          <w:color w:val="2F3131"/>
          <w:w w:val="105"/>
        </w:rPr>
        <w:t>If the </w:t>
      </w:r>
      <w:r>
        <w:rPr>
          <w:color w:val="1F1F1F"/>
          <w:w w:val="105"/>
        </w:rPr>
        <w:t>importer </w:t>
      </w:r>
      <w:r>
        <w:rPr>
          <w:color w:val="2F3131"/>
          <w:w w:val="105"/>
        </w:rPr>
        <w:t>chooses to include the country of origin on the goods, it must be accurate. Additionally words and imagery included on the label must </w:t>
      </w:r>
      <w:r>
        <w:rPr>
          <w:color w:val="1F1F1F"/>
          <w:w w:val="105"/>
        </w:rPr>
        <w:t>not </w:t>
      </w:r>
      <w:r>
        <w:rPr>
          <w:color w:val="2F3131"/>
          <w:w w:val="105"/>
        </w:rPr>
        <w:t>mislead the consumer as to the country of origin where this is not specified on the </w:t>
      </w:r>
      <w:r>
        <w:rPr>
          <w:color w:val="1F1F1F"/>
          <w:w w:val="105"/>
        </w:rPr>
        <w:t>label </w:t>
      </w:r>
      <w:r>
        <w:rPr>
          <w:color w:val="2F3131"/>
          <w:w w:val="105"/>
        </w:rPr>
        <w:t>(for example, a display of the Australian flag, or the use of a phrase such as "Australian owned").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7" w:lineRule="auto"/>
        <w:ind w:left="633" w:right="233" w:firstLine="5"/>
      </w:pPr>
      <w:r>
        <w:rPr>
          <w:color w:val="2F3131"/>
          <w:w w:val="105"/>
        </w:rPr>
        <w:t>The Intellectual Property and Consumer Goods team is the primary point of contact in ACBPS regarding the policy surrounding the labelling requirements for Pharmaceutical Goods </w:t>
      </w:r>
      <w:r>
        <w:rPr>
          <w:color w:val="3F4242"/>
          <w:w w:val="105"/>
        </w:rPr>
        <w:t>including </w:t>
      </w:r>
      <w:r>
        <w:rPr>
          <w:color w:val="2F3131"/>
          <w:w w:val="105"/>
        </w:rPr>
        <w:t>Medicine and enquiries can be forwarded to the </w:t>
      </w:r>
      <w:r>
        <w:rPr>
          <w:color w:val="1F1F1F"/>
          <w:w w:val="105"/>
        </w:rPr>
        <w:t>labelling </w:t>
      </w:r>
      <w:r>
        <w:rPr>
          <w:color w:val="2F3131"/>
          <w:w w:val="105"/>
        </w:rPr>
        <w:t>mailbox at </w:t>
      </w:r>
      <w:hyperlink r:id="rId6">
        <w:r>
          <w:rPr>
            <w:color w:val="465989"/>
            <w:w w:val="105"/>
            <w:u w:val="thick" w:color="485766"/>
          </w:rPr>
          <w:t>l</w:t>
        </w:r>
        <w:r>
          <w:rPr>
            <w:color w:val="284275"/>
            <w:w w:val="105"/>
            <w:u w:val="thick" w:color="485766"/>
          </w:rPr>
          <w:t>abelling@customs.gov.au</w:t>
        </w:r>
        <w:r>
          <w:rPr>
            <w:color w:val="284275"/>
            <w:w w:val="105"/>
          </w:rPr>
          <w:t> </w:t>
        </w:r>
      </w:hyperlink>
      <w:r>
        <w:rPr>
          <w:color w:val="485766"/>
          <w:w w:val="105"/>
        </w:rPr>
        <w:t>.</w:t>
      </w:r>
    </w:p>
    <w:p>
      <w:pPr>
        <w:spacing w:after="0" w:line="247" w:lineRule="auto"/>
        <w:sectPr>
          <w:type w:val="continuous"/>
          <w:pgSz w:w="11900" w:h="16840"/>
          <w:pgMar w:top="0" w:bottom="280" w:left="1040" w:right="1520"/>
        </w:sectPr>
      </w:pPr>
    </w:p>
    <w:p>
      <w:pPr>
        <w:pStyle w:val="BodyText"/>
        <w:spacing w:line="20" w:lineRule="exact"/>
        <w:ind w:left="1142"/>
        <w:rPr>
          <w:sz w:val="2"/>
        </w:rPr>
      </w:pPr>
      <w:r>
        <w:rPr>
          <w:sz w:val="2"/>
        </w:rPr>
        <w:pict>
          <v:group style="width:33.7pt;height:1pt;mso-position-horizontal-relative:char;mso-position-vertical-relative:line" coordorigin="0,0" coordsize="674,20">
            <v:line style="position:absolute" from="0,10" to="673,10" stroked="true" strokeweight=".96118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0" w:lineRule="exact"/>
        <w:ind w:left="3149"/>
        <w:rPr>
          <w:sz w:val="2"/>
        </w:rPr>
      </w:pPr>
      <w:r>
        <w:rPr>
          <w:sz w:val="2"/>
        </w:rPr>
        <w:pict>
          <v:group style="width:30.8pt;height:.25pt;mso-position-horizontal-relative:char;mso-position-vertical-relative:line" coordorigin="0,0" coordsize="616,5">
            <v:line style="position:absolute" from="0,2" to="615,2" stroked="true" strokeweight=".2402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59" w:lineRule="auto"/>
        <w:ind w:left="697" w:hanging="3"/>
      </w:pPr>
      <w:bookmarkStart w:name="Page 2" w:id="2"/>
      <w:bookmarkEnd w:id="2"/>
      <w:r>
        <w:rPr/>
      </w:r>
      <w:r>
        <w:rPr>
          <w:color w:val="313131"/>
          <w:w w:val="105"/>
        </w:rPr>
        <w:t>Enquiries concern</w:t>
      </w:r>
      <w:r>
        <w:rPr>
          <w:color w:val="494B49"/>
          <w:w w:val="105"/>
        </w:rPr>
        <w:t>i</w:t>
      </w:r>
      <w:r>
        <w:rPr>
          <w:color w:val="313131"/>
          <w:w w:val="105"/>
        </w:rPr>
        <w:t>ng th</w:t>
      </w:r>
      <w:r>
        <w:rPr>
          <w:color w:val="494B49"/>
          <w:w w:val="105"/>
        </w:rPr>
        <w:t>i</w:t>
      </w:r>
      <w:r>
        <w:rPr>
          <w:color w:val="313131"/>
          <w:w w:val="105"/>
        </w:rPr>
        <w:t>s notice may be directed to the Director Community Protection on telephone number (02) 6275 6642 or by email to </w:t>
      </w:r>
      <w:hyperlink r:id="rId7">
        <w:r>
          <w:rPr>
            <w:color w:val="2B4674"/>
            <w:w w:val="105"/>
            <w:u w:val="thick" w:color="596269"/>
          </w:rPr>
          <w:t>community</w:t>
        </w:r>
        <w:r>
          <w:rPr>
            <w:color w:val="49607E"/>
            <w:w w:val="105"/>
            <w:u w:val="thick" w:color="596269"/>
          </w:rPr>
          <w:t>.</w:t>
        </w:r>
        <w:r>
          <w:rPr>
            <w:color w:val="2B4674"/>
            <w:w w:val="105"/>
            <w:u w:val="thick" w:color="596269"/>
          </w:rPr>
          <w:t>protection@customs</w:t>
        </w:r>
        <w:r>
          <w:rPr>
            <w:color w:val="49607E"/>
            <w:w w:val="105"/>
            <w:u w:val="thick" w:color="596269"/>
          </w:rPr>
          <w:t>.</w:t>
        </w:r>
        <w:r>
          <w:rPr>
            <w:color w:val="2B4674"/>
            <w:w w:val="105"/>
            <w:u w:val="thick" w:color="596269"/>
          </w:rPr>
          <w:t>gov.au</w:t>
        </w:r>
        <w:r>
          <w:rPr>
            <w:color w:val="596269"/>
            <w:w w:val="105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1306737</wp:posOffset>
            </wp:positionH>
            <wp:positionV relativeFrom="paragraph">
              <wp:posOffset>205023</wp:posOffset>
            </wp:positionV>
            <wp:extent cx="1841811" cy="4145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811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39"/>
        <w:ind w:left="686" w:right="6915" w:hanging="1"/>
      </w:pPr>
      <w:r>
        <w:rPr>
          <w:color w:val="313131"/>
          <w:w w:val="105"/>
        </w:rPr>
        <w:t>Geoff Johannes Assistant Sec</w:t>
      </w:r>
      <w:r>
        <w:rPr>
          <w:color w:val="494B49"/>
          <w:w w:val="105"/>
        </w:rPr>
        <w:t>r</w:t>
      </w:r>
      <w:r>
        <w:rPr>
          <w:color w:val="313131"/>
          <w:w w:val="105"/>
        </w:rPr>
        <w:t>eta</w:t>
      </w:r>
      <w:r>
        <w:rPr>
          <w:color w:val="494B49"/>
          <w:w w:val="105"/>
        </w:rPr>
        <w:t>r</w:t>
      </w:r>
      <w:r>
        <w:rPr>
          <w:color w:val="313131"/>
          <w:w w:val="105"/>
        </w:rPr>
        <w:t>y Trade Branch</w:t>
      </w:r>
    </w:p>
    <w:p>
      <w:pPr>
        <w:pStyle w:val="BodyText"/>
        <w:spacing w:before="25"/>
        <w:ind w:left="57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.497726pt;margin-top:5.380065pt;width:11.75pt;height:20.150pt;mso-position-horizontal-relative:page;mso-position-vertical-relative:paragraph;z-index:-15775744" type="#_x0000_t202" filled="false" stroked="false">
            <v:textbox inset="0,0,0,0">
              <w:txbxContent>
                <w:p>
                  <w:pPr>
                    <w:spacing w:line="403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313131"/>
                      <w:spacing w:val="-40"/>
                      <w:sz w:val="36"/>
                    </w:rPr>
                    <w:t>o/</w:t>
                  </w:r>
                </w:p>
              </w:txbxContent>
            </v:textbox>
            <w10:wrap type="none"/>
          </v:shape>
        </w:pict>
      </w:r>
      <w:r>
        <w:rPr>
          <w:color w:val="313131"/>
          <w:w w:val="115"/>
        </w:rPr>
        <w:t>.f.:NBERRA  </w:t>
      </w:r>
      <w:r>
        <w:rPr>
          <w:color w:val="313131"/>
          <w:spacing w:val="10"/>
          <w:w w:val="115"/>
        </w:rPr>
        <w:t> </w:t>
      </w:r>
      <w:r>
        <w:rPr>
          <w:color w:val="313131"/>
          <w:w w:val="115"/>
        </w:rPr>
        <w:t>ACT</w:t>
      </w:r>
    </w:p>
    <w:p>
      <w:pPr>
        <w:pStyle w:val="BodyText"/>
        <w:spacing w:before="12"/>
        <w:ind w:left="974"/>
      </w:pPr>
      <w:r>
        <w:rPr>
          <w:color w:val="313131"/>
          <w:w w:val="105"/>
        </w:rPr>
        <w:t>December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2014</w:t>
      </w:r>
    </w:p>
    <w:sectPr>
      <w:pgSz w:w="11900" w:h="16840"/>
      <w:pgMar w:top="40" w:bottom="280" w:left="10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899" w:hanging="1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abelling@customs.gov.au" TargetMode="External"/><Relationship Id="rId7" Type="http://schemas.openxmlformats.org/officeDocument/2006/relationships/hyperlink" Target="mailto:community.protection@customs.gov.au" TargetMode="External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2020-12-09T23:03:24Z</dcterms:created>
  <dcterms:modified xsi:type="dcterms:W3CDTF">2020-12-09T23:03:24Z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2014-12-17T00:00:00Z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