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181825" cy="10858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1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1"/>
        <w:spacing w:before="86"/>
        <w:ind w:left="1764"/>
      </w:pPr>
      <w:r>
        <w:rPr/>
        <w:t>AUSTRALIAN CUSTOMS AND BORDER PROTECTION NOTICE NO.</w:t>
      </w:r>
    </w:p>
    <w:p>
      <w:pPr>
        <w:spacing w:line="298" w:lineRule="exact" w:before="0"/>
        <w:ind w:left="1760" w:right="1502" w:firstLine="0"/>
        <w:jc w:val="center"/>
        <w:rPr>
          <w:b/>
          <w:sz w:val="26"/>
        </w:rPr>
      </w:pPr>
      <w:r>
        <w:rPr/>
        <w:pict>
          <v:rect style="position:absolute;margin-left:83.543999pt;margin-top:16.479469pt;width:442.51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sz w:val="26"/>
        </w:rPr>
        <w:t>2014/57</w:t>
      </w:r>
    </w:p>
    <w:p>
      <w:pPr>
        <w:pStyle w:val="BodyText"/>
        <w:rPr>
          <w:b/>
          <w:sz w:val="13"/>
        </w:rPr>
      </w:pPr>
    </w:p>
    <w:p>
      <w:pPr>
        <w:pStyle w:val="Heading1"/>
        <w:spacing w:line="240" w:lineRule="auto" w:before="91"/>
      </w:pPr>
      <w:r>
        <w:rPr/>
        <w:t>Statistical Code and Duty Rate Changes for 1 January 2015</w:t>
      </w:r>
    </w:p>
    <w:p>
      <w:pPr>
        <w:pStyle w:val="BodyText"/>
        <w:spacing w:before="233"/>
        <w:ind w:left="1519"/>
      </w:pPr>
      <w:r>
        <w:rPr>
          <w:u w:val="single"/>
        </w:rPr>
        <w:t>Statistical Code Changes</w:t>
      </w:r>
    </w:p>
    <w:p>
      <w:pPr>
        <w:pStyle w:val="BodyText"/>
        <w:spacing w:before="208"/>
        <w:ind w:left="1519" w:right="1544"/>
      </w:pPr>
      <w:r>
        <w:rPr/>
        <w:t>The Australian Bureau of Statistics (ABS) has advised of changes to statistical codes in the Customs Tariff Working pages, from 1 January 2015, for tariff subheadings 7227.90.90, 7228.70.00, 7308.90.00, 7312.10.00, 7312.90.00 (refer </w:t>
      </w:r>
      <w:r>
        <w:rPr>
          <w:u w:val="single"/>
        </w:rPr>
        <w:t>Attachment A</w:t>
      </w:r>
      <w:r>
        <w:rPr/>
        <w:t>).</w:t>
      </w:r>
    </w:p>
    <w:p>
      <w:pPr>
        <w:pStyle w:val="BodyText"/>
        <w:rPr>
          <w:sz w:val="14"/>
        </w:rPr>
      </w:pPr>
    </w:p>
    <w:p>
      <w:pPr>
        <w:pStyle w:val="BodyText"/>
        <w:spacing w:line="237" w:lineRule="auto" w:before="96"/>
        <w:ind w:left="1519" w:right="1997"/>
      </w:pPr>
      <w:r>
        <w:rPr/>
        <w:t>The ABS has also made changes to the Australian Harmonized Export Commodity Classification. Australian Customs Border Protection Notice 2014/56 refers.</w:t>
      </w:r>
    </w:p>
    <w:p>
      <w:pPr>
        <w:pStyle w:val="BodyText"/>
        <w:spacing w:before="207"/>
        <w:ind w:left="1519" w:right="1299"/>
      </w:pPr>
      <w:r>
        <w:rPr>
          <w:u w:val="single"/>
        </w:rPr>
        <w:t>Reduction of the general duty rates on certain Textile Clothing and Footwear (TCF) goods</w:t>
      </w:r>
      <w:r>
        <w:rPr/>
        <w:t> </w:t>
      </w:r>
      <w:r>
        <w:rPr>
          <w:u w:val="single"/>
        </w:rPr>
        <w:t>from 10% to 5% on 1 January 2015</w:t>
      </w:r>
    </w:p>
    <w:p>
      <w:pPr>
        <w:pStyle w:val="BodyText"/>
        <w:spacing w:before="210"/>
        <w:ind w:left="1519" w:right="1251"/>
      </w:pPr>
      <w:r>
        <w:rPr/>
        <w:t>The duty rates applying to certain TCF goods in Chapters 39, 40, 42, 58, 60, 61, 62, 63 and 96 of Schedule 3 of the </w:t>
      </w:r>
      <w:r>
        <w:rPr>
          <w:i/>
        </w:rPr>
        <w:t>Customs Tariff Act 1995 </w:t>
      </w:r>
      <w:r>
        <w:rPr/>
        <w:t>(Customs Tariff) will phase from 10% to 5% on 1 January 2015. The Developing Country rates for these goods will phase from 5% to Free.</w:t>
      </w:r>
    </w:p>
    <w:p>
      <w:pPr>
        <w:pStyle w:val="BodyText"/>
        <w:spacing w:before="207"/>
        <w:ind w:left="1519"/>
      </w:pPr>
      <w:r>
        <w:rPr>
          <w:u w:val="single"/>
        </w:rPr>
        <w:t>Reductions of duty rates under Free Trade Agreements</w:t>
      </w:r>
    </w:p>
    <w:p>
      <w:pPr>
        <w:pStyle w:val="BodyText"/>
        <w:spacing w:line="237" w:lineRule="auto" w:before="210"/>
        <w:ind w:left="1519" w:right="2082"/>
      </w:pPr>
      <w:r>
        <w:rPr/>
        <w:t>Schedules 5, 6, 7 and 8 of the Customs Tariff specify phasing rates of duty for the following goods: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</w:tabs>
        <w:spacing w:line="270" w:lineRule="exact" w:before="198" w:after="0"/>
        <w:ind w:left="2240" w:right="0" w:hanging="361"/>
        <w:jc w:val="both"/>
        <w:rPr>
          <w:sz w:val="22"/>
        </w:rPr>
      </w:pPr>
      <w:r>
        <w:rPr>
          <w:sz w:val="22"/>
        </w:rPr>
        <w:t>Chilean grapes under the Chilean Free Trade</w:t>
      </w:r>
      <w:r>
        <w:rPr>
          <w:spacing w:val="-8"/>
          <w:sz w:val="22"/>
        </w:rPr>
        <w:t> </w:t>
      </w:r>
      <w:r>
        <w:rPr>
          <w:sz w:val="22"/>
        </w:rPr>
        <w:t>Agreement;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</w:tabs>
        <w:spacing w:line="269" w:lineRule="exact" w:before="0" w:after="0"/>
        <w:ind w:left="2240" w:right="0" w:hanging="361"/>
        <w:jc w:val="both"/>
        <w:rPr>
          <w:sz w:val="22"/>
        </w:rPr>
      </w:pPr>
      <w:r>
        <w:rPr>
          <w:sz w:val="22"/>
        </w:rPr>
        <w:t>certain pharmaceutical goods under the </w:t>
      </w:r>
      <w:r>
        <w:rPr>
          <w:spacing w:val="-3"/>
          <w:sz w:val="22"/>
        </w:rPr>
        <w:t>US </w:t>
      </w:r>
      <w:r>
        <w:rPr>
          <w:sz w:val="22"/>
        </w:rPr>
        <w:t>Free Trade</w:t>
      </w:r>
      <w:r>
        <w:rPr>
          <w:spacing w:val="-6"/>
          <w:sz w:val="22"/>
        </w:rPr>
        <w:t> </w:t>
      </w:r>
      <w:r>
        <w:rPr>
          <w:sz w:val="22"/>
        </w:rPr>
        <w:t>Agreement;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</w:tabs>
        <w:spacing w:line="230" w:lineRule="auto" w:before="6" w:after="0"/>
        <w:ind w:left="2240" w:right="1540" w:hanging="360"/>
        <w:jc w:val="both"/>
        <w:rPr>
          <w:sz w:val="22"/>
        </w:rPr>
      </w:pPr>
      <w:r>
        <w:rPr>
          <w:sz w:val="22"/>
        </w:rPr>
        <w:t>certain TCF goods under the US, Thai and Chilean Free Trade Agreements </w:t>
      </w:r>
      <w:r>
        <w:rPr>
          <w:spacing w:val="-19"/>
          <w:sz w:val="22"/>
        </w:rPr>
        <w:t>and </w:t>
      </w:r>
      <w:r>
        <w:rPr>
          <w:sz w:val="22"/>
        </w:rPr>
        <w:t>also under the Agreement Establishing the ASEAN-Australia-New Zealand Free Trade Area</w:t>
      </w:r>
      <w:r>
        <w:rPr>
          <w:spacing w:val="1"/>
          <w:sz w:val="22"/>
        </w:rPr>
        <w:t> </w:t>
      </w:r>
      <w:r>
        <w:rPr>
          <w:sz w:val="22"/>
        </w:rPr>
        <w:t>(AANZFTA);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</w:tabs>
        <w:spacing w:line="270" w:lineRule="exact" w:before="18" w:after="0"/>
        <w:ind w:left="2240" w:right="0" w:hanging="361"/>
        <w:jc w:val="both"/>
        <w:rPr>
          <w:sz w:val="22"/>
        </w:rPr>
      </w:pPr>
      <w:r>
        <w:rPr>
          <w:sz w:val="22"/>
        </w:rPr>
        <w:t>certain motor vehicles under the AANZFTA;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1"/>
        </w:numPr>
        <w:tabs>
          <w:tab w:pos="2241" w:val="left" w:leader="none"/>
        </w:tabs>
        <w:spacing w:line="223" w:lineRule="auto" w:before="12" w:after="0"/>
        <w:ind w:left="2240" w:right="1564" w:hanging="360"/>
        <w:jc w:val="both"/>
        <w:rPr>
          <w:sz w:val="22"/>
        </w:rPr>
      </w:pPr>
      <w:r>
        <w:rPr>
          <w:sz w:val="22"/>
        </w:rPr>
        <w:t>certain articles of bedding and similar furnishing under the US and Chilean </w:t>
      </w:r>
      <w:r>
        <w:rPr>
          <w:spacing w:val="-15"/>
          <w:sz w:val="22"/>
        </w:rPr>
        <w:t>Free </w:t>
      </w:r>
      <w:r>
        <w:rPr>
          <w:sz w:val="22"/>
        </w:rPr>
        <w:t>Trade</w:t>
      </w:r>
      <w:r>
        <w:rPr>
          <w:spacing w:val="-3"/>
          <w:sz w:val="22"/>
        </w:rPr>
        <w:t> </w:t>
      </w:r>
      <w:r>
        <w:rPr>
          <w:sz w:val="22"/>
        </w:rPr>
        <w:t>Agreements.</w:t>
      </w:r>
    </w:p>
    <w:p>
      <w:pPr>
        <w:pStyle w:val="BodyText"/>
        <w:spacing w:before="208"/>
        <w:ind w:left="1519" w:right="1543"/>
      </w:pPr>
      <w:r>
        <w:rPr/>
        <w:t>These phasing rates of duty apply to goods entered for home consumption on and after 1 January 2015.</w:t>
      </w:r>
    </w:p>
    <w:p>
      <w:pPr>
        <w:pStyle w:val="BodyText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1120" w:bottom="280" w:left="180" w:right="160"/>
        </w:sectPr>
      </w:pPr>
    </w:p>
    <w:p>
      <w:pPr>
        <w:pStyle w:val="BodyText"/>
        <w:spacing w:line="436" w:lineRule="auto" w:before="93"/>
        <w:ind w:left="1519" w:right="2657"/>
      </w:pPr>
      <w:r>
        <w:rPr>
          <w:u w:val="single"/>
        </w:rPr>
        <w:t>Enquiries</w:t>
      </w:r>
      <w:r>
        <w:rPr/>
        <w:t> </w:t>
      </w:r>
      <w:r>
        <w:rPr>
          <w:u w:val="single"/>
        </w:rPr>
        <w:t>Customs Tariff</w:t>
      </w:r>
    </w:p>
    <w:p>
      <w:pPr>
        <w:pStyle w:val="BodyText"/>
        <w:spacing w:before="2"/>
        <w:ind w:left="1519"/>
      </w:pPr>
      <w:r>
        <w:rPr/>
        <w:t>Manager Trade Policy and Negotiation Australian Customs and Border</w:t>
      </w:r>
      <w:r>
        <w:rPr>
          <w:spacing w:val="-21"/>
        </w:rPr>
        <w:t> </w:t>
      </w:r>
      <w:r>
        <w:rPr/>
        <w:t>Protection Service</w:t>
      </w:r>
    </w:p>
    <w:p>
      <w:pPr>
        <w:pStyle w:val="BodyText"/>
        <w:spacing w:line="252" w:lineRule="exact"/>
        <w:ind w:left="1519"/>
      </w:pPr>
      <w:r>
        <w:rPr/>
        <w:t>Ph: (02) 6275 6095</w:t>
      </w:r>
    </w:p>
    <w:p>
      <w:pPr>
        <w:pStyle w:val="BodyText"/>
        <w:spacing w:before="1"/>
        <w:ind w:left="1519"/>
      </w:pPr>
      <w:r>
        <w:rPr/>
        <w:t>Email: </w:t>
      </w:r>
      <w:hyperlink r:id="rId6">
        <w:r>
          <w:rPr>
            <w:color w:val="0000FF"/>
            <w:u w:val="single" w:color="0000FF"/>
          </w:rPr>
          <w:t>tariff@customs.gov.au</w:t>
        </w:r>
      </w:hyperlink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828"/>
      </w:pPr>
      <w:r>
        <w:rPr>
          <w:u w:val="single"/>
        </w:rPr>
        <w:t>Statistical Codes</w:t>
      </w:r>
    </w:p>
    <w:p>
      <w:pPr>
        <w:pStyle w:val="BodyText"/>
        <w:spacing w:before="209"/>
        <w:ind w:left="856" w:right="2092"/>
      </w:pPr>
      <w:r>
        <w:rPr/>
        <w:t>Classification Manager International Trade Section Australian Bureau of Statistics Ph: (02) 6252 5409</w:t>
      </w:r>
    </w:p>
    <w:p>
      <w:pPr>
        <w:pStyle w:val="BodyText"/>
        <w:ind w:left="856"/>
      </w:pPr>
      <w:r>
        <w:rPr/>
        <w:t>Email: </w:t>
      </w:r>
      <w:hyperlink r:id="rId7">
        <w:r>
          <w:rPr>
            <w:color w:val="0000FF"/>
            <w:u w:val="single" w:color="0000FF"/>
          </w:rPr>
          <w:t>international.trade@abs.gov.au</w:t>
        </w:r>
      </w:hyperlink>
    </w:p>
    <w:p>
      <w:pPr>
        <w:spacing w:after="0"/>
        <w:sectPr>
          <w:type w:val="continuous"/>
          <w:pgSz w:w="11910" w:h="16840"/>
          <w:pgMar w:top="1120" w:bottom="280" w:left="180" w:right="160"/>
          <w:cols w:num="2" w:equalWidth="0">
            <w:col w:w="5627" w:space="40"/>
            <w:col w:w="5903"/>
          </w:cols>
        </w:sectPr>
      </w:pPr>
    </w:p>
    <w:p>
      <w:pPr>
        <w:pStyle w:val="BodyText"/>
        <w:spacing w:before="70"/>
        <w:ind w:left="1519"/>
      </w:pPr>
      <w:r>
        <w:rPr>
          <w:u w:val="single"/>
        </w:rPr>
        <w:t>Tariff reprint pages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94"/>
        <w:ind w:left="1519"/>
      </w:pPr>
      <w:r>
        <w:rPr>
          <w:u w:val="single"/>
        </w:rPr>
        <w:t>Schedule 3</w: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tabs>
          <w:tab w:pos="3781" w:val="left" w:leader="none"/>
          <w:tab w:pos="5918" w:val="left" w:leader="none"/>
          <w:tab w:pos="8117" w:val="left" w:leader="none"/>
        </w:tabs>
        <w:spacing w:before="94"/>
        <w:ind w:left="1582"/>
      </w:pPr>
      <w:r>
        <w:rPr/>
        <w:t>72/21-22</w:t>
      </w:r>
      <w:r>
        <w:rPr>
          <w:spacing w:val="-3"/>
        </w:rPr>
        <w:t> </w:t>
      </w:r>
      <w:r>
        <w:rPr/>
        <w:t>(R.6)</w:t>
        <w:tab/>
        <w:t>72/23-blank</w:t>
      </w:r>
      <w:r>
        <w:rPr>
          <w:spacing w:val="1"/>
        </w:rPr>
        <w:t> </w:t>
      </w:r>
      <w:r>
        <w:rPr/>
        <w:t>(R.6)</w:t>
        <w:tab/>
        <w:t>73/9-10 (R.8)</w:t>
        <w:tab/>
        <w:t>73/11-12</w:t>
      </w:r>
      <w:r>
        <w:rPr>
          <w:spacing w:val="2"/>
        </w:rPr>
        <w:t> </w:t>
      </w:r>
      <w:r>
        <w:rPr/>
        <w:t>(R.8)</w:t>
      </w:r>
    </w:p>
    <w:p>
      <w:pPr>
        <w:pStyle w:val="BodyText"/>
        <w:spacing w:before="3"/>
      </w:pPr>
    </w:p>
    <w:p>
      <w:pPr>
        <w:pStyle w:val="BodyText"/>
        <w:spacing w:before="1"/>
        <w:ind w:left="1519"/>
      </w:pPr>
      <w:r>
        <w:rPr>
          <w:u w:val="single"/>
        </w:rPr>
        <w:t>Schedule 8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718" w:val="left" w:leader="none"/>
        </w:tabs>
        <w:ind w:left="1519"/>
      </w:pPr>
      <w:r>
        <w:rPr/>
        <w:t>8/27-28</w:t>
        <w:tab/>
        <w:t>8/35-36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519" w:right="1312"/>
      </w:pPr>
      <w:r>
        <w:rPr/>
        <w:t>The above tariff reprint pages will be issued in the week commencing 8 December 2014. These pages will also be available on the ACBPS website at </w:t>
      </w:r>
      <w:hyperlink r:id="rId8">
        <w:r>
          <w:rPr>
            <w:color w:val="0000FF"/>
            <w:u w:val="single" w:color="0000FF"/>
          </w:rPr>
          <w:t>www.customs.gov.au</w:t>
        </w:r>
        <w:r>
          <w:rPr>
            <w:color w:val="0000FF"/>
          </w:rPr>
          <w:t> </w:t>
        </w:r>
      </w:hyperlink>
      <w:r>
        <w:rPr/>
        <w:t>(select tariff/working tariff current).</w:t>
      </w:r>
    </w:p>
    <w:p>
      <w:pPr>
        <w:pStyle w:val="BodyText"/>
        <w:spacing w:before="1"/>
      </w:pPr>
    </w:p>
    <w:p>
      <w:pPr>
        <w:pStyle w:val="BodyText"/>
        <w:ind w:left="1519" w:right="1299"/>
      </w:pPr>
      <w:r>
        <w:rPr>
          <w:u w:val="single"/>
        </w:rPr>
        <w:t>Note</w:t>
      </w:r>
      <w:r>
        <w:rPr/>
        <w:t>: New tariff working pages will be issued for some pages of Schedule 8 to clarify the start dates of certain phasing rates </w:t>
      </w:r>
      <w:r>
        <w:rPr>
          <w:spacing w:val="-3"/>
        </w:rPr>
        <w:t>in </w:t>
      </w:r>
      <w:r>
        <w:rPr/>
        <w:t>AANZFTA. As the 1 January 2015 phasing rates for Schedules 3, 5, 6, 7 and 8 are currently noted in the tariff working pages no new pages will be issued for the</w:t>
      </w:r>
      <w:r>
        <w:rPr>
          <w:spacing w:val="-1"/>
        </w:rPr>
        <w:t> </w:t>
      </w:r>
      <w:r>
        <w:rPr/>
        <w:t>remainder.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9"/>
        <w:ind w:left="1519"/>
      </w:pPr>
      <w:r>
        <w:rPr/>
        <w:t>(signed)</w:t>
      </w:r>
    </w:p>
    <w:p>
      <w:pPr>
        <w:pStyle w:val="BodyText"/>
        <w:spacing w:before="1"/>
        <w:ind w:left="1519"/>
      </w:pPr>
      <w:r>
        <w:rPr/>
        <w:t>Geoff Johannes</w:t>
      </w:r>
    </w:p>
    <w:p>
      <w:pPr>
        <w:pStyle w:val="BodyText"/>
        <w:spacing w:line="237" w:lineRule="auto" w:before="4"/>
        <w:ind w:left="1519" w:right="7500"/>
      </w:pPr>
      <w:r>
        <w:rPr/>
        <w:t>Assistant Secretary Trade 3 December 2014</w:t>
      </w:r>
    </w:p>
    <w:p>
      <w:pPr>
        <w:spacing w:after="0" w:line="237" w:lineRule="auto"/>
        <w:sectPr>
          <w:pgSz w:w="11910" w:h="16840"/>
          <w:pgMar w:top="1040" w:bottom="280" w:left="180" w:right="160"/>
        </w:sectPr>
      </w:pPr>
    </w:p>
    <w:p>
      <w:pPr>
        <w:pStyle w:val="Heading2"/>
        <w:ind w:right="1246"/>
      </w:pPr>
      <w:r>
        <w:rPr/>
        <w:t>Attachment A</w:t>
      </w:r>
    </w:p>
    <w:p>
      <w:pPr>
        <w:pStyle w:val="BodyText"/>
        <w:spacing w:before="6"/>
        <w:rPr>
          <w:b/>
          <w:sz w:val="24"/>
        </w:rPr>
      </w:pPr>
    </w:p>
    <w:p>
      <w:pPr>
        <w:spacing w:before="94"/>
        <w:ind w:left="953" w:right="0" w:firstLine="0"/>
        <w:jc w:val="left"/>
        <w:rPr>
          <w:b/>
          <w:sz w:val="22"/>
        </w:rPr>
      </w:pPr>
      <w:r>
        <w:rPr>
          <w:b/>
          <w:sz w:val="22"/>
        </w:rPr>
        <w:t>Statistical Code Changes from 1 January 2015</w:t>
      </w:r>
    </w:p>
    <w:p>
      <w:pPr>
        <w:pStyle w:val="BodyText"/>
        <w:spacing w:before="4"/>
        <w:rPr>
          <w:b/>
          <w:sz w:val="11"/>
        </w:rPr>
      </w:pPr>
    </w:p>
    <w:tbl>
      <w:tblPr>
        <w:tblW w:w="0" w:type="auto"/>
        <w:jc w:val="left"/>
        <w:tblInd w:w="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461"/>
        <w:gridCol w:w="533"/>
        <w:gridCol w:w="1676"/>
        <w:gridCol w:w="461"/>
        <w:gridCol w:w="350"/>
        <w:gridCol w:w="4350"/>
      </w:tblGrid>
      <w:tr>
        <w:trPr>
          <w:trHeight w:val="758" w:hRule="atLeast"/>
        </w:trPr>
        <w:tc>
          <w:tcPr>
            <w:tcW w:w="1637" w:type="dxa"/>
            <w:shd w:val="clear" w:color="auto" w:fill="C5D9F0"/>
          </w:tcPr>
          <w:p>
            <w:pPr>
              <w:pStyle w:val="TableParagraph"/>
              <w:spacing w:line="237" w:lineRule="auto"/>
              <w:ind w:right="262"/>
              <w:rPr>
                <w:b/>
                <w:sz w:val="22"/>
              </w:rPr>
            </w:pPr>
            <w:r>
              <w:rPr>
                <w:b/>
                <w:sz w:val="22"/>
              </w:rPr>
              <w:t>Tariff subheading</w:t>
            </w:r>
          </w:p>
        </w:tc>
        <w:tc>
          <w:tcPr>
            <w:tcW w:w="2670" w:type="dxa"/>
            <w:gridSpan w:val="3"/>
            <w:shd w:val="clear" w:color="auto" w:fill="C5D9F0"/>
          </w:tcPr>
          <w:p>
            <w:pPr>
              <w:pStyle w:val="TableParagraph"/>
              <w:tabs>
                <w:tab w:pos="1550" w:val="left" w:leader="none"/>
              </w:tabs>
              <w:spacing w:line="237" w:lineRule="auto"/>
              <w:ind w:right="96"/>
              <w:rPr>
                <w:b/>
                <w:sz w:val="22"/>
              </w:rPr>
            </w:pPr>
            <w:r>
              <w:rPr>
                <w:b/>
                <w:sz w:val="22"/>
              </w:rPr>
              <w:t>Current</w:t>
              <w:tab/>
            </w:r>
            <w:r>
              <w:rPr>
                <w:b/>
                <w:spacing w:val="-4"/>
                <w:sz w:val="22"/>
              </w:rPr>
              <w:t>statistical </w:t>
            </w:r>
            <w:r>
              <w:rPr>
                <w:b/>
                <w:sz w:val="22"/>
              </w:rPr>
              <w:t>code/unit</w:t>
            </w:r>
          </w:p>
        </w:tc>
        <w:tc>
          <w:tcPr>
            <w:tcW w:w="5161" w:type="dxa"/>
            <w:gridSpan w:val="3"/>
            <w:shd w:val="clear" w:color="auto" w:fill="C5D9F0"/>
          </w:tcPr>
          <w:p>
            <w:pPr>
              <w:pStyle w:val="TableParagraph"/>
              <w:spacing w:line="24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New statistical code/unit</w:t>
            </w:r>
          </w:p>
        </w:tc>
      </w:tr>
      <w:tr>
        <w:trPr>
          <w:trHeight w:val="757" w:hRule="atLeast"/>
        </w:trPr>
        <w:tc>
          <w:tcPr>
            <w:tcW w:w="1637" w:type="dxa"/>
            <w:vMerge w:val="restart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z w:val="22"/>
              </w:rPr>
              <w:t>7227.90.90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533" w:type="dxa"/>
            <w:vMerge w:val="restart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1676" w:type="dxa"/>
            <w:vMerge w:val="restart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--- Other</w:t>
            </w:r>
          </w:p>
        </w:tc>
        <w:tc>
          <w:tcPr>
            <w:tcW w:w="461" w:type="dxa"/>
          </w:tcPr>
          <w:p>
            <w:pPr>
              <w:pStyle w:val="TableParagraph"/>
              <w:ind w:left="91" w:right="71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50" w:type="dxa"/>
          </w:tcPr>
          <w:p>
            <w:pPr>
              <w:pStyle w:val="TableParagraph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3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Containing indentations, ribs, grooves or</w:t>
            </w:r>
          </w:p>
          <w:p>
            <w:pPr>
              <w:pStyle w:val="TableParagraph"/>
              <w:spacing w:line="250" w:lineRule="exact" w:before="7"/>
              <w:rPr>
                <w:sz w:val="22"/>
              </w:rPr>
            </w:pPr>
            <w:r>
              <w:rPr>
                <w:sz w:val="22"/>
              </w:rPr>
              <w:t>other deformations produced during the rolling process</w:t>
            </w:r>
          </w:p>
        </w:tc>
      </w:tr>
      <w:tr>
        <w:trPr>
          <w:trHeight w:val="504" w:hRule="atLeast"/>
        </w:trPr>
        <w:tc>
          <w:tcPr>
            <w:tcW w:w="16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91" w:right="71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350" w:type="dxa"/>
          </w:tcPr>
          <w:p>
            <w:pPr>
              <w:pStyle w:val="TableParagraph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3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Of circular cross-section measuring less</w:t>
            </w:r>
          </w:p>
          <w:p>
            <w:pPr>
              <w:pStyle w:val="TableParagraph"/>
              <w:spacing w:line="234" w:lineRule="exact" w:before="2"/>
              <w:rPr>
                <w:sz w:val="22"/>
              </w:rPr>
            </w:pPr>
            <w:r>
              <w:rPr>
                <w:sz w:val="22"/>
              </w:rPr>
              <w:t>than 14 mm in diameter</w:t>
            </w:r>
          </w:p>
        </w:tc>
      </w:tr>
      <w:tr>
        <w:trPr>
          <w:trHeight w:val="508" w:hRule="atLeast"/>
        </w:trPr>
        <w:tc>
          <w:tcPr>
            <w:tcW w:w="16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40" w:lineRule="auto"/>
              <w:ind w:left="91" w:right="71"/>
              <w:jc w:val="center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350" w:type="dxa"/>
          </w:tcPr>
          <w:p>
            <w:pPr>
              <w:pStyle w:val="TableParagraph"/>
              <w:spacing w:line="240" w:lineRule="auto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350" w:type="dxa"/>
          </w:tcPr>
          <w:p>
            <w:pPr>
              <w:pStyle w:val="TableParagraph"/>
              <w:spacing w:line="250" w:lineRule="exact" w:before="6"/>
              <w:ind w:right="762"/>
              <w:rPr>
                <w:sz w:val="22"/>
              </w:rPr>
            </w:pPr>
            <w:r>
              <w:rPr>
                <w:sz w:val="22"/>
              </w:rPr>
              <w:t>Of circular cross-section measuring 14 mm or more in diameter</w:t>
            </w:r>
          </w:p>
        </w:tc>
      </w:tr>
      <w:tr>
        <w:trPr>
          <w:trHeight w:val="253" w:hRule="atLeast"/>
        </w:trPr>
        <w:tc>
          <w:tcPr>
            <w:tcW w:w="16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34" w:lineRule="exact"/>
              <w:ind w:left="91" w:right="71"/>
              <w:jc w:val="center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350" w:type="dxa"/>
          </w:tcPr>
          <w:p>
            <w:pPr>
              <w:pStyle w:val="TableParagraph"/>
              <w:spacing w:line="234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350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Other</w:t>
            </w:r>
          </w:p>
        </w:tc>
      </w:tr>
      <w:tr>
        <w:trPr>
          <w:trHeight w:val="758" w:hRule="atLeast"/>
        </w:trPr>
        <w:tc>
          <w:tcPr>
            <w:tcW w:w="1637" w:type="dxa"/>
            <w:vMerge w:val="restart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z w:val="22"/>
              </w:rPr>
              <w:t>7228.70.00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533" w:type="dxa"/>
            <w:vMerge w:val="restart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1676" w:type="dxa"/>
            <w:vMerge w:val="restart"/>
          </w:tcPr>
          <w:p>
            <w:pPr>
              <w:pStyle w:val="TableParagraph"/>
              <w:spacing w:line="240" w:lineRule="auto"/>
              <w:ind w:right="398"/>
              <w:rPr>
                <w:sz w:val="22"/>
              </w:rPr>
            </w:pPr>
            <w:r>
              <w:rPr>
                <w:sz w:val="22"/>
              </w:rPr>
              <w:t>- Angles, shapes and sections</w:t>
            </w:r>
          </w:p>
        </w:tc>
        <w:tc>
          <w:tcPr>
            <w:tcW w:w="461" w:type="dxa"/>
          </w:tcPr>
          <w:p>
            <w:pPr>
              <w:pStyle w:val="TableParagraph"/>
              <w:ind w:left="91" w:right="7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50" w:type="dxa"/>
          </w:tcPr>
          <w:p>
            <w:pPr>
              <w:pStyle w:val="TableParagraph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3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U, I, H or L sections, not further worked</w:t>
            </w:r>
          </w:p>
          <w:p>
            <w:pPr>
              <w:pStyle w:val="TableParagraph"/>
              <w:spacing w:line="250" w:lineRule="exact" w:before="7"/>
              <w:ind w:right="223"/>
              <w:rPr>
                <w:sz w:val="22"/>
              </w:rPr>
            </w:pPr>
            <w:r>
              <w:rPr>
                <w:sz w:val="22"/>
              </w:rPr>
              <w:t>than hot-rolled, hot-drawn or extruded, of a height of less than 80 mm</w:t>
            </w:r>
          </w:p>
        </w:tc>
      </w:tr>
      <w:tr>
        <w:trPr>
          <w:trHeight w:val="757" w:hRule="atLeast"/>
        </w:trPr>
        <w:tc>
          <w:tcPr>
            <w:tcW w:w="16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91" w:right="71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350" w:type="dxa"/>
          </w:tcPr>
          <w:p>
            <w:pPr>
              <w:pStyle w:val="TableParagraph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3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U, I, H or L sections, not further worked</w:t>
            </w:r>
          </w:p>
          <w:p>
            <w:pPr>
              <w:pStyle w:val="TableParagraph"/>
              <w:spacing w:line="250" w:lineRule="exact" w:before="7"/>
              <w:ind w:right="223"/>
              <w:rPr>
                <w:sz w:val="22"/>
              </w:rPr>
            </w:pPr>
            <w:r>
              <w:rPr>
                <w:sz w:val="22"/>
              </w:rPr>
              <w:t>than hot-rolled, hot-drawn or extruded, of a height of 80 mm or more</w:t>
            </w:r>
          </w:p>
        </w:tc>
      </w:tr>
      <w:tr>
        <w:trPr>
          <w:trHeight w:val="758" w:hRule="atLeast"/>
        </w:trPr>
        <w:tc>
          <w:tcPr>
            <w:tcW w:w="16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91" w:right="71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50" w:type="dxa"/>
          </w:tcPr>
          <w:p>
            <w:pPr>
              <w:pStyle w:val="TableParagraph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3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Other</w:t>
            </w:r>
          </w:p>
        </w:tc>
      </w:tr>
      <w:tr>
        <w:trPr>
          <w:trHeight w:val="762" w:hRule="atLeast"/>
        </w:trPr>
        <w:tc>
          <w:tcPr>
            <w:tcW w:w="1637" w:type="dxa"/>
            <w:vMerge w:val="restart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z w:val="22"/>
              </w:rPr>
              <w:t>7308.90.00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533" w:type="dxa"/>
            <w:vMerge w:val="restart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NR</w:t>
            </w:r>
          </w:p>
        </w:tc>
        <w:tc>
          <w:tcPr>
            <w:tcW w:w="1676" w:type="dxa"/>
            <w:vMerge w:val="restart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- Other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spacing w:line="242" w:lineRule="auto"/>
              <w:ind w:right="358"/>
              <w:rPr>
                <w:sz w:val="22"/>
              </w:rPr>
            </w:pPr>
            <w:r>
              <w:rPr>
                <w:sz w:val="22"/>
              </w:rPr>
              <w:t>Columns, pillars, posts, beams, girders, bracing, gantries, brackets, struts, ties</w:t>
            </w:r>
          </w:p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and similar structural units:</w:t>
            </w:r>
          </w:p>
        </w:tc>
      </w:tr>
      <w:tr>
        <w:trPr>
          <w:trHeight w:val="479" w:hRule="atLeast"/>
        </w:trPr>
        <w:tc>
          <w:tcPr>
            <w:tcW w:w="16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.Roll formed structures:</w:t>
            </w:r>
          </w:p>
        </w:tc>
      </w:tr>
      <w:tr>
        <w:trPr>
          <w:trHeight w:val="254" w:hRule="atLeast"/>
        </w:trPr>
        <w:tc>
          <w:tcPr>
            <w:tcW w:w="16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34" w:lineRule="exact"/>
              <w:ind w:left="91" w:right="71"/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350" w:type="dxa"/>
          </w:tcPr>
          <w:p>
            <w:pPr>
              <w:pStyle w:val="TableParagraph"/>
              <w:spacing w:line="234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350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.. Hot rolled</w:t>
            </w:r>
          </w:p>
        </w:tc>
      </w:tr>
      <w:tr>
        <w:trPr>
          <w:trHeight w:val="758" w:hRule="atLeast"/>
        </w:trPr>
        <w:tc>
          <w:tcPr>
            <w:tcW w:w="16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91" w:right="71"/>
              <w:jc w:val="center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350" w:type="dxa"/>
          </w:tcPr>
          <w:p>
            <w:pPr>
              <w:pStyle w:val="TableParagraph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350" w:type="dxa"/>
          </w:tcPr>
          <w:p>
            <w:pPr>
              <w:pStyle w:val="TableParagraph"/>
              <w:spacing w:line="242" w:lineRule="auto"/>
              <w:ind w:right="217"/>
              <w:rPr>
                <w:sz w:val="22"/>
              </w:rPr>
            </w:pPr>
            <w:r>
              <w:rPr>
                <w:sz w:val="22"/>
              </w:rPr>
              <w:t>.. Plated or coated with zinc or with aluminium-zinc alloys, of a thickness less</w:t>
            </w:r>
          </w:p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than 1.2 mm</w:t>
            </w:r>
          </w:p>
        </w:tc>
      </w:tr>
      <w:tr>
        <w:trPr>
          <w:trHeight w:val="762" w:hRule="atLeast"/>
        </w:trPr>
        <w:tc>
          <w:tcPr>
            <w:tcW w:w="16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91" w:right="71"/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350" w:type="dxa"/>
          </w:tcPr>
          <w:p>
            <w:pPr>
              <w:pStyle w:val="TableParagraph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350" w:type="dxa"/>
          </w:tcPr>
          <w:p>
            <w:pPr>
              <w:pStyle w:val="TableParagraph"/>
              <w:spacing w:line="242" w:lineRule="auto"/>
              <w:ind w:right="388"/>
              <w:rPr>
                <w:sz w:val="22"/>
              </w:rPr>
            </w:pPr>
            <w:r>
              <w:rPr>
                <w:sz w:val="22"/>
              </w:rPr>
              <w:t>.. Plated or coated with zinc or with aluminium-zinc alloys, of a thickness of</w:t>
            </w:r>
          </w:p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1.2 mm or more</w:t>
            </w:r>
          </w:p>
        </w:tc>
      </w:tr>
      <w:tr>
        <w:trPr>
          <w:trHeight w:val="249" w:hRule="atLeast"/>
        </w:trPr>
        <w:tc>
          <w:tcPr>
            <w:tcW w:w="16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30" w:lineRule="exact"/>
              <w:ind w:left="91" w:right="71"/>
              <w:jc w:val="center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350" w:type="dxa"/>
          </w:tcPr>
          <w:p>
            <w:pPr>
              <w:pStyle w:val="TableParagraph"/>
              <w:spacing w:line="230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350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.. Other</w:t>
            </w:r>
          </w:p>
        </w:tc>
      </w:tr>
      <w:tr>
        <w:trPr>
          <w:trHeight w:val="254" w:hRule="atLeast"/>
        </w:trPr>
        <w:tc>
          <w:tcPr>
            <w:tcW w:w="16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34" w:lineRule="exact"/>
              <w:ind w:left="91" w:right="71"/>
              <w:jc w:val="center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350" w:type="dxa"/>
          </w:tcPr>
          <w:p>
            <w:pPr>
              <w:pStyle w:val="TableParagraph"/>
              <w:spacing w:line="234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350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. Other</w:t>
            </w:r>
          </w:p>
        </w:tc>
      </w:tr>
      <w:tr>
        <w:trPr>
          <w:trHeight w:val="253" w:hRule="atLeast"/>
        </w:trPr>
        <w:tc>
          <w:tcPr>
            <w:tcW w:w="16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34" w:lineRule="exact"/>
              <w:ind w:left="91" w:right="71"/>
              <w:jc w:val="center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350" w:type="dxa"/>
          </w:tcPr>
          <w:p>
            <w:pPr>
              <w:pStyle w:val="TableParagraph"/>
              <w:spacing w:line="234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350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Steel grating, stairways and treads</w:t>
            </w:r>
          </w:p>
        </w:tc>
      </w:tr>
      <w:tr>
        <w:trPr>
          <w:trHeight w:val="503" w:hRule="atLeast"/>
        </w:trPr>
        <w:tc>
          <w:tcPr>
            <w:tcW w:w="16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91" w:right="71"/>
              <w:jc w:val="center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350" w:type="dxa"/>
          </w:tcPr>
          <w:p>
            <w:pPr>
              <w:pStyle w:val="TableParagraph"/>
              <w:spacing w:line="240" w:lineRule="auto" w:before="7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34" w:lineRule="exact" w:before="1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3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Racking and shelving</w:t>
            </w:r>
          </w:p>
        </w:tc>
      </w:tr>
      <w:tr>
        <w:trPr>
          <w:trHeight w:val="763" w:hRule="atLeast"/>
        </w:trPr>
        <w:tc>
          <w:tcPr>
            <w:tcW w:w="16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40" w:lineRule="auto"/>
              <w:ind w:left="91" w:right="71"/>
              <w:jc w:val="center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350" w:type="dxa"/>
          </w:tcPr>
          <w:p>
            <w:pPr>
              <w:pStyle w:val="TableParagraph"/>
              <w:spacing w:line="240" w:lineRule="auto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350" w:type="dxa"/>
          </w:tcPr>
          <w:p>
            <w:pPr>
              <w:pStyle w:val="TableParagraph"/>
              <w:spacing w:line="237" w:lineRule="auto" w:before="2"/>
              <w:ind w:right="321"/>
              <w:rPr>
                <w:sz w:val="22"/>
              </w:rPr>
            </w:pPr>
            <w:r>
              <w:rPr>
                <w:sz w:val="22"/>
              </w:rPr>
              <w:t>Sheet-metal roofing, siding, flooring and roof drainage equipment (or rainwater</w:t>
            </w:r>
          </w:p>
          <w:p>
            <w:pPr>
              <w:pStyle w:val="TableParagraph"/>
              <w:spacing w:line="239" w:lineRule="exact" w:before="1"/>
              <w:rPr>
                <w:sz w:val="22"/>
              </w:rPr>
            </w:pPr>
            <w:r>
              <w:rPr>
                <w:sz w:val="22"/>
              </w:rPr>
              <w:t>goods)</w:t>
            </w:r>
          </w:p>
        </w:tc>
      </w:tr>
      <w:tr>
        <w:trPr>
          <w:trHeight w:val="249" w:hRule="atLeast"/>
        </w:trPr>
        <w:tc>
          <w:tcPr>
            <w:tcW w:w="16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29" w:lineRule="exact"/>
              <w:ind w:left="91" w:right="71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350" w:type="dxa"/>
          </w:tcPr>
          <w:p>
            <w:pPr>
              <w:pStyle w:val="TableParagraph"/>
              <w:spacing w:line="229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350" w:type="dxa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Handrails and stanchions</w:t>
            </w:r>
          </w:p>
        </w:tc>
      </w:tr>
      <w:tr>
        <w:trPr>
          <w:trHeight w:val="762" w:hRule="atLeast"/>
        </w:trPr>
        <w:tc>
          <w:tcPr>
            <w:tcW w:w="16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40" w:lineRule="auto"/>
              <w:ind w:left="91" w:right="71"/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350" w:type="dxa"/>
          </w:tcPr>
          <w:p>
            <w:pPr>
              <w:pStyle w:val="TableParagraph"/>
              <w:spacing w:line="240" w:lineRule="auto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350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Other</w:t>
            </w:r>
          </w:p>
        </w:tc>
      </w:tr>
    </w:tbl>
    <w:p>
      <w:pPr>
        <w:spacing w:after="0" w:line="240" w:lineRule="auto"/>
        <w:rPr>
          <w:sz w:val="22"/>
        </w:rPr>
        <w:sectPr>
          <w:pgSz w:w="11910" w:h="16840"/>
          <w:pgMar w:top="1040" w:bottom="280" w:left="180" w:right="160"/>
        </w:sectPr>
      </w:pPr>
    </w:p>
    <w:p>
      <w:pPr>
        <w:pStyle w:val="Heading2"/>
        <w:ind w:right="1251"/>
      </w:pPr>
      <w:r>
        <w:rPr/>
        <w:t>Attachment A cont.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tbl>
      <w:tblPr>
        <w:tblW w:w="0" w:type="auto"/>
        <w:jc w:val="left"/>
        <w:tblInd w:w="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8"/>
        <w:gridCol w:w="553"/>
        <w:gridCol w:w="634"/>
        <w:gridCol w:w="980"/>
        <w:gridCol w:w="461"/>
        <w:gridCol w:w="533"/>
        <w:gridCol w:w="4682"/>
      </w:tblGrid>
      <w:tr>
        <w:trPr>
          <w:trHeight w:val="758" w:hRule="atLeast"/>
        </w:trPr>
        <w:tc>
          <w:tcPr>
            <w:tcW w:w="1628" w:type="dxa"/>
            <w:shd w:val="clear" w:color="auto" w:fill="C5D9F0"/>
          </w:tcPr>
          <w:p>
            <w:pPr>
              <w:pStyle w:val="TableParagraph"/>
              <w:spacing w:line="242" w:lineRule="auto"/>
              <w:ind w:right="253"/>
              <w:rPr>
                <w:b/>
                <w:sz w:val="22"/>
              </w:rPr>
            </w:pPr>
            <w:r>
              <w:rPr>
                <w:b/>
                <w:sz w:val="22"/>
              </w:rPr>
              <w:t>Tariff subheading</w:t>
            </w:r>
          </w:p>
        </w:tc>
        <w:tc>
          <w:tcPr>
            <w:tcW w:w="2167" w:type="dxa"/>
            <w:gridSpan w:val="3"/>
            <w:shd w:val="clear" w:color="auto" w:fill="C5D9F0"/>
          </w:tcPr>
          <w:p>
            <w:pPr>
              <w:pStyle w:val="TableParagraph"/>
              <w:spacing w:line="242" w:lineRule="auto"/>
              <w:ind w:left="109" w:right="157"/>
              <w:rPr>
                <w:b/>
                <w:sz w:val="22"/>
              </w:rPr>
            </w:pPr>
            <w:r>
              <w:rPr>
                <w:b/>
                <w:sz w:val="22"/>
              </w:rPr>
              <w:t>Current statistical code/unit</w:t>
            </w:r>
          </w:p>
        </w:tc>
        <w:tc>
          <w:tcPr>
            <w:tcW w:w="5676" w:type="dxa"/>
            <w:gridSpan w:val="3"/>
            <w:shd w:val="clear" w:color="auto" w:fill="C5D9F0"/>
          </w:tcPr>
          <w:p>
            <w:pPr>
              <w:pStyle w:val="TableParagraph"/>
              <w:spacing w:line="243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New statistical code/unit</w:t>
            </w:r>
          </w:p>
        </w:tc>
      </w:tr>
      <w:tr>
        <w:trPr>
          <w:trHeight w:val="254" w:hRule="atLeast"/>
        </w:trPr>
        <w:tc>
          <w:tcPr>
            <w:tcW w:w="1628" w:type="dxa"/>
            <w:vMerge w:val="restart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z w:val="22"/>
              </w:rPr>
              <w:t>7312.10.00</w:t>
            </w:r>
          </w:p>
        </w:tc>
        <w:tc>
          <w:tcPr>
            <w:tcW w:w="553" w:type="dxa"/>
            <w:vMerge w:val="restart"/>
          </w:tcPr>
          <w:p>
            <w:pPr>
              <w:pStyle w:val="TableParagraph"/>
              <w:ind w:left="153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634" w:type="dxa"/>
            <w:vMerge w:val="restart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KG</w:t>
            </w:r>
          </w:p>
        </w:tc>
        <w:tc>
          <w:tcPr>
            <w:tcW w:w="980" w:type="dxa"/>
            <w:vMerge w:val="restart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Other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533" w:type="dxa"/>
            <w:vMerge w:val="restart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KG</w:t>
            </w:r>
          </w:p>
        </w:tc>
        <w:tc>
          <w:tcPr>
            <w:tcW w:w="4682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. Of stainless steel</w:t>
            </w:r>
          </w:p>
        </w:tc>
      </w:tr>
      <w:tr>
        <w:trPr>
          <w:trHeight w:val="253" w:hRule="atLeast"/>
        </w:trPr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. Other</w:t>
            </w:r>
          </w:p>
        </w:tc>
      </w:tr>
      <w:tr>
        <w:trPr>
          <w:trHeight w:val="757" w:hRule="atLeast"/>
        </w:trPr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.. Stress-relieved steel wire strand ( for</w:t>
            </w:r>
          </w:p>
          <w:p>
            <w:pPr>
              <w:pStyle w:val="TableParagraph"/>
              <w:spacing w:line="250" w:lineRule="exact" w:before="7"/>
              <w:ind w:left="108" w:right="203"/>
              <w:rPr>
                <w:sz w:val="22"/>
              </w:rPr>
            </w:pPr>
            <w:r>
              <w:rPr>
                <w:sz w:val="22"/>
              </w:rPr>
              <w:t>example prestressed concrete strand or low- relaxation strand), of alloy or non-alloy steel</w:t>
            </w:r>
          </w:p>
        </w:tc>
      </w:tr>
      <w:tr>
        <w:trPr>
          <w:trHeight w:val="504" w:hRule="atLeast"/>
        </w:trPr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89" w:right="73"/>
              <w:jc w:val="center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533" w:type="dxa"/>
          </w:tcPr>
          <w:p>
            <w:pPr>
              <w:pStyle w:val="TableParagraph"/>
              <w:ind w:left="0" w:right="90"/>
              <w:jc w:val="right"/>
              <w:rPr>
                <w:sz w:val="22"/>
              </w:rPr>
            </w:pPr>
            <w:r>
              <w:rPr>
                <w:sz w:val="22"/>
              </w:rPr>
              <w:t>KG</w:t>
            </w:r>
          </w:p>
        </w:tc>
        <w:tc>
          <w:tcPr>
            <w:tcW w:w="468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... Of a diameter not exceeding 18 mm,</w:t>
            </w:r>
          </w:p>
          <w:p>
            <w:pPr>
              <w:pStyle w:val="TableParagraph"/>
              <w:spacing w:line="234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containing not more than seven strands</w:t>
            </w:r>
          </w:p>
        </w:tc>
      </w:tr>
      <w:tr>
        <w:trPr>
          <w:trHeight w:val="254" w:hRule="atLeast"/>
        </w:trPr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34" w:lineRule="exact"/>
              <w:ind w:left="89" w:right="73"/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533" w:type="dxa"/>
          </w:tcPr>
          <w:p>
            <w:pPr>
              <w:pStyle w:val="TableParagraph"/>
              <w:spacing w:line="234" w:lineRule="exact"/>
              <w:ind w:left="0" w:right="90"/>
              <w:jc w:val="right"/>
              <w:rPr>
                <w:sz w:val="22"/>
              </w:rPr>
            </w:pPr>
            <w:r>
              <w:rPr>
                <w:sz w:val="22"/>
              </w:rPr>
              <w:t>KG</w:t>
            </w:r>
          </w:p>
        </w:tc>
        <w:tc>
          <w:tcPr>
            <w:tcW w:w="4682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... Other</w:t>
            </w:r>
          </w:p>
        </w:tc>
      </w:tr>
      <w:tr>
        <w:trPr>
          <w:trHeight w:val="508" w:hRule="atLeast"/>
        </w:trPr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68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.. Ropes and cables, containing not more</w:t>
            </w:r>
          </w:p>
          <w:p>
            <w:pPr>
              <w:pStyle w:val="TableParagraph"/>
              <w:spacing w:line="239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than eight strands, of alloy or non-alloy steel</w:t>
            </w:r>
          </w:p>
        </w:tc>
      </w:tr>
      <w:tr>
        <w:trPr>
          <w:trHeight w:val="253" w:hRule="atLeast"/>
        </w:trPr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34" w:lineRule="exact"/>
              <w:ind w:left="89" w:right="73"/>
              <w:jc w:val="center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533" w:type="dxa"/>
          </w:tcPr>
          <w:p>
            <w:pPr>
              <w:pStyle w:val="TableParagraph"/>
              <w:spacing w:line="234" w:lineRule="exact"/>
              <w:ind w:left="0" w:right="90"/>
              <w:jc w:val="right"/>
              <w:rPr>
                <w:sz w:val="22"/>
              </w:rPr>
            </w:pPr>
            <w:r>
              <w:rPr>
                <w:sz w:val="22"/>
              </w:rPr>
              <w:t>KG</w:t>
            </w:r>
          </w:p>
        </w:tc>
        <w:tc>
          <w:tcPr>
            <w:tcW w:w="4682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... Of a diameter not exceeding 50 mm</w:t>
            </w:r>
          </w:p>
        </w:tc>
      </w:tr>
      <w:tr>
        <w:trPr>
          <w:trHeight w:val="504" w:hRule="atLeast"/>
        </w:trPr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49" w:lineRule="exact"/>
              <w:ind w:left="89" w:right="73"/>
              <w:jc w:val="center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533" w:type="dxa"/>
          </w:tcPr>
          <w:p>
            <w:pPr>
              <w:pStyle w:val="TableParagraph"/>
              <w:spacing w:line="249" w:lineRule="exact"/>
              <w:ind w:left="0" w:right="90"/>
              <w:jc w:val="right"/>
              <w:rPr>
                <w:sz w:val="22"/>
              </w:rPr>
            </w:pPr>
            <w:r>
              <w:rPr>
                <w:sz w:val="22"/>
              </w:rPr>
              <w:t>KG</w:t>
            </w:r>
          </w:p>
        </w:tc>
        <w:tc>
          <w:tcPr>
            <w:tcW w:w="4682" w:type="dxa"/>
          </w:tcPr>
          <w:p>
            <w:pPr>
              <w:pStyle w:val="TableParagraph"/>
              <w:spacing w:line="250" w:lineRule="exact" w:before="2"/>
              <w:ind w:left="108" w:right="435"/>
              <w:rPr>
                <w:sz w:val="22"/>
              </w:rPr>
            </w:pPr>
            <w:r>
              <w:rPr>
                <w:sz w:val="22"/>
              </w:rPr>
              <w:t>... Of a diameter exceeding 50 mm but not exceeding 100 mm</w:t>
            </w:r>
          </w:p>
        </w:tc>
      </w:tr>
      <w:tr>
        <w:trPr>
          <w:trHeight w:val="253" w:hRule="atLeast"/>
        </w:trPr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34" w:lineRule="exact"/>
              <w:ind w:left="89" w:right="73"/>
              <w:jc w:val="center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533" w:type="dxa"/>
          </w:tcPr>
          <w:p>
            <w:pPr>
              <w:pStyle w:val="TableParagraph"/>
              <w:spacing w:line="234" w:lineRule="exact"/>
              <w:ind w:left="0" w:right="90"/>
              <w:jc w:val="right"/>
              <w:rPr>
                <w:sz w:val="22"/>
              </w:rPr>
            </w:pPr>
            <w:r>
              <w:rPr>
                <w:sz w:val="22"/>
              </w:rPr>
              <w:t>KG</w:t>
            </w:r>
          </w:p>
        </w:tc>
        <w:tc>
          <w:tcPr>
            <w:tcW w:w="4682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... Of a diameter exceeding 100 mm</w:t>
            </w:r>
          </w:p>
        </w:tc>
      </w:tr>
      <w:tr>
        <w:trPr>
          <w:trHeight w:val="503" w:hRule="atLeast"/>
        </w:trPr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89" w:right="73"/>
              <w:jc w:val="center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533" w:type="dxa"/>
          </w:tcPr>
          <w:p>
            <w:pPr>
              <w:pStyle w:val="TableParagraph"/>
              <w:ind w:left="0" w:right="90"/>
              <w:jc w:val="right"/>
              <w:rPr>
                <w:sz w:val="22"/>
              </w:rPr>
            </w:pPr>
            <w:r>
              <w:rPr>
                <w:sz w:val="22"/>
              </w:rPr>
              <w:t>KG</w:t>
            </w:r>
          </w:p>
        </w:tc>
        <w:tc>
          <w:tcPr>
            <w:tcW w:w="468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.. Ropes and cables, containing more than</w:t>
            </w:r>
          </w:p>
          <w:p>
            <w:pPr>
              <w:pStyle w:val="TableParagraph"/>
              <w:spacing w:line="234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eight strands, of alloy or non-alloy steel</w:t>
            </w:r>
          </w:p>
        </w:tc>
      </w:tr>
      <w:tr>
        <w:trPr>
          <w:trHeight w:val="253" w:hRule="atLeast"/>
        </w:trPr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34" w:lineRule="exact"/>
              <w:ind w:left="89" w:right="73"/>
              <w:jc w:val="center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533" w:type="dxa"/>
          </w:tcPr>
          <w:p>
            <w:pPr>
              <w:pStyle w:val="TableParagraph"/>
              <w:spacing w:line="234" w:lineRule="exact"/>
              <w:ind w:left="0" w:right="90"/>
              <w:jc w:val="right"/>
              <w:rPr>
                <w:sz w:val="22"/>
              </w:rPr>
            </w:pPr>
            <w:r>
              <w:rPr>
                <w:sz w:val="22"/>
              </w:rPr>
              <w:t>KG</w:t>
            </w:r>
          </w:p>
        </w:tc>
        <w:tc>
          <w:tcPr>
            <w:tcW w:w="4682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.. Other</w:t>
            </w:r>
          </w:p>
        </w:tc>
      </w:tr>
      <w:tr>
        <w:trPr>
          <w:trHeight w:val="254" w:hRule="atLeast"/>
        </w:trPr>
        <w:tc>
          <w:tcPr>
            <w:tcW w:w="1628" w:type="dxa"/>
            <w:vMerge w:val="restart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z w:val="22"/>
              </w:rPr>
              <w:t>7312.90.00</w:t>
            </w:r>
          </w:p>
        </w:tc>
        <w:tc>
          <w:tcPr>
            <w:tcW w:w="553" w:type="dxa"/>
            <w:vMerge w:val="restart"/>
          </w:tcPr>
          <w:p>
            <w:pPr>
              <w:pStyle w:val="TableParagraph"/>
              <w:ind w:left="153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63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80" w:type="dxa"/>
            <w:vMerge w:val="restart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- Other</w:t>
            </w:r>
          </w:p>
        </w:tc>
        <w:tc>
          <w:tcPr>
            <w:tcW w:w="461" w:type="dxa"/>
          </w:tcPr>
          <w:p>
            <w:pPr>
              <w:pStyle w:val="TableParagraph"/>
              <w:spacing w:line="234" w:lineRule="exact"/>
              <w:ind w:left="89" w:right="73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533" w:type="dxa"/>
          </w:tcPr>
          <w:p>
            <w:pPr>
              <w:pStyle w:val="TableParagraph"/>
              <w:spacing w:line="234" w:lineRule="exact"/>
              <w:ind w:left="0" w:right="90"/>
              <w:jc w:val="right"/>
              <w:rPr>
                <w:sz w:val="22"/>
              </w:rPr>
            </w:pPr>
            <w:r>
              <w:rPr>
                <w:sz w:val="22"/>
              </w:rPr>
              <w:t>KG</w:t>
            </w:r>
          </w:p>
        </w:tc>
        <w:tc>
          <w:tcPr>
            <w:tcW w:w="4682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Slings</w:t>
            </w:r>
          </w:p>
        </w:tc>
      </w:tr>
      <w:tr>
        <w:trPr>
          <w:trHeight w:val="253" w:hRule="atLeast"/>
        </w:trPr>
        <w:tc>
          <w:tcPr>
            <w:tcW w:w="1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34" w:lineRule="exact"/>
              <w:ind w:left="89" w:right="73"/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533" w:type="dxa"/>
          </w:tcPr>
          <w:p>
            <w:pPr>
              <w:pStyle w:val="TableParagraph"/>
              <w:spacing w:line="234" w:lineRule="exact"/>
              <w:ind w:left="0" w:right="90"/>
              <w:jc w:val="right"/>
              <w:rPr>
                <w:sz w:val="22"/>
              </w:rPr>
            </w:pPr>
            <w:r>
              <w:rPr>
                <w:sz w:val="22"/>
              </w:rPr>
              <w:t>KG</w:t>
            </w:r>
          </w:p>
        </w:tc>
        <w:tc>
          <w:tcPr>
            <w:tcW w:w="4682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Other</w:t>
            </w:r>
          </w:p>
        </w:tc>
      </w:tr>
    </w:tbl>
    <w:sectPr>
      <w:pgSz w:w="11910" w:h="16840"/>
      <w:pgMar w:top="10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240" w:hanging="360"/>
      </w:pPr>
      <w:rPr>
        <w:rFonts w:hint="default" w:ascii="Symbol" w:hAnsi="Symbol" w:eastAsia="Symbol" w:cs="Symbol"/>
        <w:w w:val="76"/>
        <w:sz w:val="22"/>
        <w:szCs w:val="22"/>
        <w:lang w:val="en-au" w:eastAsia="en-US" w:bidi="ar-SA"/>
      </w:rPr>
    </w:lvl>
    <w:lvl w:ilvl="1">
      <w:start w:val="0"/>
      <w:numFmt w:val="bullet"/>
      <w:lvlText w:val="•"/>
      <w:lvlJc w:val="left"/>
      <w:pPr>
        <w:ind w:left="3172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4104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5037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969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902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834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66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699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au" w:eastAsia="en-US" w:bidi="ar-SA"/>
    </w:rPr>
  </w:style>
  <w:style w:styleId="Heading1" w:type="paragraph">
    <w:name w:val="Heading 1"/>
    <w:basedOn w:val="Normal"/>
    <w:uiPriority w:val="1"/>
    <w:qFormat/>
    <w:pPr>
      <w:spacing w:line="298" w:lineRule="exact"/>
      <w:ind w:left="1760" w:right="1502"/>
      <w:jc w:val="center"/>
      <w:outlineLvl w:val="1"/>
    </w:pPr>
    <w:rPr>
      <w:rFonts w:ascii="Arial" w:hAnsi="Arial" w:eastAsia="Arial" w:cs="Arial"/>
      <w:b/>
      <w:bCs/>
      <w:sz w:val="26"/>
      <w:szCs w:val="26"/>
      <w:lang w:val="en-au" w:eastAsia="en-US" w:bidi="ar-SA"/>
    </w:rPr>
  </w:style>
  <w:style w:styleId="Heading2" w:type="paragraph">
    <w:name w:val="Heading 2"/>
    <w:basedOn w:val="Normal"/>
    <w:uiPriority w:val="1"/>
    <w:qFormat/>
    <w:pPr>
      <w:spacing w:before="65"/>
      <w:jc w:val="right"/>
      <w:outlineLvl w:val="2"/>
    </w:pPr>
    <w:rPr>
      <w:rFonts w:ascii="Arial" w:hAnsi="Arial" w:eastAsia="Arial" w:cs="Arial"/>
      <w:b/>
      <w:bCs/>
      <w:sz w:val="22"/>
      <w:szCs w:val="22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line="270" w:lineRule="exact"/>
      <w:ind w:left="2240" w:hanging="361"/>
      <w:jc w:val="both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10"/>
    </w:pPr>
    <w:rPr>
      <w:rFonts w:ascii="Arial" w:hAnsi="Arial" w:eastAsia="Arial" w:cs="Arial"/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tariff@customs.gov.au" TargetMode="External"/><Relationship Id="rId7" Type="http://schemas.openxmlformats.org/officeDocument/2006/relationships/hyperlink" Target="mailto:international.trade@abs.gov.au" TargetMode="External"/><Relationship Id="rId8" Type="http://schemas.openxmlformats.org/officeDocument/2006/relationships/hyperlink" Target="http://www.customs.gov.au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2020-12-09T22:45:15Z</dcterms:created>
  <dcterms:modified xsi:type="dcterms:W3CDTF">2020-12-09T22:45:15Z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2014-12-03T00:00:00Z</vt:filetime>
  </property>
  <property fmtid="{D5CDD505-2E9C-101B-9397-08002B2CF9AE}" pid="3" name="LastSaved">
    <vt:filetime>2020-12-09T00:00:00Z</vt:filetime>
  </property>
</Properties>
</file>