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13"/>
        </w:rPr>
      </w:pPr>
      <w:r>
        <w:rPr/>
        <w:pict>
          <v:line style="position:absolute;mso-position-horizontal-relative:page;mso-position-vertical-relative:page;z-index:15730688" from="11.539365pt,136.728653pt" to="582.737921pt,136.728653pt" stroked="true" strokeweight="6.488003pt" strokecolor="#000000">
            <v:stroke dashstyle="solid"/>
            <w10:wrap type="none"/>
          </v:line>
        </w:pict>
      </w:r>
    </w:p>
    <w:p>
      <w:pPr>
        <w:spacing w:before="90"/>
        <w:ind w:left="2599" w:right="0" w:firstLine="0"/>
        <w:jc w:val="left"/>
        <w:rPr>
          <w:rFonts w:ascii="Times New Roman"/>
          <w:b/>
          <w:sz w:val="25"/>
        </w:rPr>
      </w:pPr>
      <w:r>
        <w:rPr/>
        <w:pict>
          <v:group style="position:absolute;margin-left:54.811981pt;margin-top:-7.85979pt;width:67pt;height:49.05pt;mso-position-horizontal-relative:page;mso-position-vertical-relative:paragraph;z-index:15730176" coordorigin="1096,-157" coordsize="1340,981">
            <v:shape style="position:absolute;left:1096;top:-158;width:1328;height:981" type="#_x0000_t75" stroked="false">
              <v:imagedata r:id="rId5" o:title=""/>
            </v:shape>
            <v:shapetype id="_x0000_t202" o:spt="202" coordsize="21600,21600" path="m,l,21600r21600,l21600,xe">
              <v:stroke joinstyle="miter"/>
              <v:path gradientshapeok="t" o:connecttype="rect"/>
            </v:shapetype>
            <v:shape style="position:absolute;left:2317;top:490;width:120;height:309" type="#_x0000_t202" filled="false" stroked="false">
              <v:textbox inset="0,0,0,0">
                <w:txbxContent>
                  <w:p>
                    <w:pPr>
                      <w:spacing w:before="0"/>
                      <w:ind w:left="0" w:right="0" w:firstLine="0"/>
                      <w:jc w:val="left"/>
                      <w:rPr>
                        <w:sz w:val="23"/>
                        <w:szCs w:val="23"/>
                      </w:rPr>
                    </w:pPr>
                    <w:r>
                      <w:rPr>
                        <w:color w:val="506475"/>
                        <w:w w:val="43"/>
                        <w:sz w:val="23"/>
                        <w:szCs w:val="23"/>
                      </w:rPr>
                      <w:t>�</w:t>
                    </w:r>
                  </w:p>
                </w:txbxContent>
              </v:textbox>
              <w10:wrap type="none"/>
            </v:shape>
            <w10:wrap type="none"/>
          </v:group>
        </w:pict>
      </w:r>
      <w:bookmarkStart w:name="Page 1" w:id="1"/>
      <w:bookmarkEnd w:id="1"/>
      <w:r>
        <w:rPr/>
      </w:r>
      <w:r>
        <w:rPr>
          <w:rFonts w:ascii="Times New Roman"/>
          <w:b/>
          <w:color w:val="1A3A56"/>
          <w:sz w:val="25"/>
          <w:u w:val="thick" w:color="1A3A56"/>
        </w:rPr>
        <w:t>Australian </w:t>
      </w:r>
      <w:r>
        <w:rPr>
          <w:rFonts w:ascii="Times New Roman"/>
          <w:b/>
          <w:color w:val="1A3A56"/>
          <w:spacing w:val="3"/>
          <w:sz w:val="25"/>
          <w:u w:val="thick" w:color="1A3A56"/>
        </w:rPr>
        <w:t> </w:t>
      </w:r>
      <w:r>
        <w:rPr>
          <w:rFonts w:ascii="Times New Roman"/>
          <w:b/>
          <w:color w:val="1A3A56"/>
          <w:sz w:val="25"/>
          <w:u w:val="thick" w:color="1A3A56"/>
        </w:rPr>
        <w:t>Government</w:t>
      </w:r>
    </w:p>
    <w:p>
      <w:pPr>
        <w:spacing w:line="283" w:lineRule="auto" w:before="145"/>
        <w:ind w:left="2596" w:right="5253" w:firstLine="3"/>
        <w:jc w:val="left"/>
        <w:rPr>
          <w:rFonts w:ascii="Times New Roman"/>
          <w:b/>
          <w:sz w:val="23"/>
        </w:rPr>
      </w:pPr>
      <w:r>
        <w:rPr>
          <w:rFonts w:ascii="Times New Roman"/>
          <w:b/>
          <w:color w:val="1A3A56"/>
          <w:w w:val="105"/>
          <w:sz w:val="23"/>
        </w:rPr>
        <w:t>Australian Customs and Border</w:t>
      </w:r>
      <w:r>
        <w:rPr>
          <w:rFonts w:ascii="Times New Roman"/>
          <w:b/>
          <w:color w:val="1A3A56"/>
          <w:spacing w:val="-33"/>
          <w:w w:val="105"/>
          <w:sz w:val="23"/>
        </w:rPr>
        <w:t> </w:t>
      </w:r>
      <w:r>
        <w:rPr>
          <w:rFonts w:ascii="Times New Roman"/>
          <w:b/>
          <w:color w:val="1A3A56"/>
          <w:w w:val="105"/>
          <w:sz w:val="23"/>
        </w:rPr>
        <w:t>Protection</w:t>
      </w:r>
      <w:r>
        <w:rPr>
          <w:rFonts w:ascii="Times New Roman"/>
          <w:b/>
          <w:color w:val="1A3A56"/>
          <w:spacing w:val="-24"/>
          <w:w w:val="105"/>
          <w:sz w:val="23"/>
        </w:rPr>
        <w:t> </w:t>
      </w:r>
      <w:r>
        <w:rPr>
          <w:rFonts w:ascii="Times New Roman"/>
          <w:b/>
          <w:color w:val="1A3A56"/>
          <w:w w:val="105"/>
          <w:sz w:val="23"/>
        </w:rPr>
        <w:t>Service</w:t>
      </w:r>
    </w:p>
    <w:p>
      <w:pPr>
        <w:pStyle w:val="BodyText"/>
        <w:rPr>
          <w:rFonts w:ascii="Times New Roman"/>
          <w:b/>
          <w:sz w:val="26"/>
        </w:rPr>
      </w:pPr>
    </w:p>
    <w:p>
      <w:pPr>
        <w:pStyle w:val="BodyText"/>
        <w:rPr>
          <w:rFonts w:ascii="Times New Roman"/>
          <w:b/>
          <w:sz w:val="26"/>
        </w:rPr>
      </w:pPr>
    </w:p>
    <w:p>
      <w:pPr>
        <w:pStyle w:val="BodyText"/>
        <w:rPr>
          <w:rFonts w:ascii="Times New Roman"/>
          <w:b/>
          <w:sz w:val="26"/>
        </w:rPr>
      </w:pPr>
    </w:p>
    <w:p>
      <w:pPr>
        <w:pStyle w:val="Title"/>
        <w:spacing w:line="256" w:lineRule="auto" w:before="204" w:after="2"/>
        <w:ind w:left="964" w:right="1085" w:firstLine="1"/>
      </w:pPr>
      <w:r>
        <w:rPr>
          <w:color w:val="2F3131"/>
          <w:w w:val="105"/>
        </w:rPr>
        <w:t>AUSTRALIAN CUSTOMS AND BORDER PROTECTION NOTICE NO. 2015/09</w:t>
      </w:r>
    </w:p>
    <w:p>
      <w:pPr>
        <w:pStyle w:val="BodyText"/>
        <w:spacing w:line="20" w:lineRule="exact"/>
        <w:ind w:left="918"/>
        <w:rPr>
          <w:rFonts w:ascii="Arial"/>
          <w:sz w:val="2"/>
        </w:rPr>
      </w:pPr>
      <w:r>
        <w:rPr>
          <w:rFonts w:ascii="Arial"/>
          <w:sz w:val="2"/>
        </w:rPr>
        <w:pict>
          <v:group style="width:502pt;height:.5pt;mso-position-horizontal-relative:char;mso-position-vertical-relative:line" coordorigin="0,0" coordsize="10040,10">
            <v:line style="position:absolute" from="0,5" to="10039,5" stroked="true" strokeweight=".480593pt" strokecolor="#000000">
              <v:stroke dashstyle="solid"/>
            </v:line>
          </v:group>
        </w:pict>
      </w:r>
      <w:r>
        <w:rPr>
          <w:rFonts w:ascii="Arial"/>
          <w:sz w:val="2"/>
        </w:rPr>
      </w:r>
    </w:p>
    <w:p>
      <w:pPr>
        <w:pStyle w:val="BodyText"/>
        <w:spacing w:before="3"/>
        <w:rPr>
          <w:rFonts w:ascii="Arial"/>
          <w:b/>
          <w:sz w:val="24"/>
        </w:rPr>
      </w:pPr>
    </w:p>
    <w:p>
      <w:pPr>
        <w:pStyle w:val="Title"/>
      </w:pPr>
      <w:r>
        <w:rPr>
          <w:color w:val="2F3131"/>
          <w:w w:val="105"/>
        </w:rPr>
        <w:t>Major Sporting Events (lndicia and Images) Protection Act</w:t>
      </w:r>
      <w:r>
        <w:rPr>
          <w:color w:val="2F3131"/>
          <w:spacing w:val="51"/>
          <w:w w:val="105"/>
        </w:rPr>
        <w:t> </w:t>
      </w:r>
      <w:r>
        <w:rPr>
          <w:color w:val="2F3131"/>
          <w:w w:val="105"/>
        </w:rPr>
        <w:t>2014</w:t>
      </w:r>
    </w:p>
    <w:p>
      <w:pPr>
        <w:pStyle w:val="BodyText"/>
        <w:spacing w:before="4"/>
        <w:rPr>
          <w:rFonts w:ascii="Arial"/>
          <w:b/>
          <w:sz w:val="24"/>
        </w:rPr>
      </w:pPr>
    </w:p>
    <w:p>
      <w:pPr>
        <w:spacing w:line="220" w:lineRule="auto" w:before="0"/>
        <w:ind w:left="965" w:right="0" w:hanging="4"/>
        <w:jc w:val="left"/>
        <w:rPr>
          <w:sz w:val="19"/>
        </w:rPr>
      </w:pPr>
      <w:r>
        <w:rPr>
          <w:color w:val="3D413F"/>
          <w:w w:val="105"/>
          <w:sz w:val="19"/>
        </w:rPr>
        <w:t>The </w:t>
      </w:r>
      <w:r>
        <w:rPr>
          <w:rFonts w:ascii="Arial"/>
          <w:i/>
          <w:color w:val="2F3131"/>
          <w:w w:val="105"/>
          <w:sz w:val="19"/>
        </w:rPr>
        <w:t>Major Sporting Events (lndicia and Images) Protection Act 2014 </w:t>
      </w:r>
      <w:r>
        <w:rPr>
          <w:color w:val="2F3131"/>
          <w:w w:val="105"/>
          <w:sz w:val="19"/>
        </w:rPr>
        <w:t>(the Act) was introduced in July 2014 to protect indicia (for example signs, indications or distinguishing marks) and images associated with certain major sporting events that the Australian Government has committed to</w:t>
      </w:r>
      <w:r>
        <w:rPr>
          <w:color w:val="2F3131"/>
          <w:spacing w:val="51"/>
          <w:w w:val="105"/>
          <w:sz w:val="19"/>
        </w:rPr>
        <w:t> </w:t>
      </w:r>
      <w:r>
        <w:rPr>
          <w:color w:val="2F3131"/>
          <w:w w:val="105"/>
          <w:sz w:val="19"/>
        </w:rPr>
        <w:t>support.</w:t>
      </w:r>
    </w:p>
    <w:p>
      <w:pPr>
        <w:pStyle w:val="BodyText"/>
        <w:spacing w:before="13"/>
        <w:rPr>
          <w:sz w:val="16"/>
        </w:rPr>
      </w:pPr>
    </w:p>
    <w:p>
      <w:pPr>
        <w:pStyle w:val="BodyText"/>
        <w:spacing w:line="218" w:lineRule="auto"/>
        <w:ind w:left="963" w:right="200" w:hanging="1"/>
      </w:pPr>
      <w:r>
        <w:rPr>
          <w:color w:val="2F3131"/>
          <w:w w:val="105"/>
        </w:rPr>
        <w:t>Import provisions within the Act permit a rights holder or authorised user of </w:t>
      </w:r>
      <w:r>
        <w:rPr>
          <w:color w:val="3D413F"/>
          <w:w w:val="105"/>
        </w:rPr>
        <w:t>indicia </w:t>
      </w:r>
      <w:r>
        <w:rPr>
          <w:color w:val="2F3131"/>
          <w:w w:val="105"/>
        </w:rPr>
        <w:t>and images to object </w:t>
      </w:r>
      <w:r>
        <w:rPr>
          <w:color w:val="3D413F"/>
          <w:w w:val="105"/>
        </w:rPr>
        <w:t>to </w:t>
      </w:r>
      <w:r>
        <w:rPr>
          <w:color w:val="2F3131"/>
          <w:w w:val="105"/>
        </w:rPr>
        <w:t>the unauthorised use of protected indicia and images on goods imported </w:t>
      </w:r>
      <w:r>
        <w:rPr>
          <w:color w:val="3D413F"/>
          <w:w w:val="105"/>
        </w:rPr>
        <w:t>into </w:t>
      </w:r>
      <w:r>
        <w:rPr>
          <w:color w:val="2F3131"/>
          <w:w w:val="105"/>
        </w:rPr>
        <w:t>Australia. Section 25 of </w:t>
      </w:r>
      <w:r>
        <w:rPr>
          <w:color w:val="3D413F"/>
          <w:w w:val="105"/>
        </w:rPr>
        <w:t>the </w:t>
      </w:r>
      <w:r>
        <w:rPr>
          <w:color w:val="2F3131"/>
          <w:w w:val="105"/>
        </w:rPr>
        <w:t>Act gives the Australian Customs and Border Protection Service </w:t>
      </w:r>
      <w:r>
        <w:rPr>
          <w:color w:val="3D413F"/>
          <w:w w:val="105"/>
        </w:rPr>
        <w:t>(ACBPS) </w:t>
      </w:r>
      <w:r>
        <w:rPr>
          <w:color w:val="2F3131"/>
          <w:w w:val="105"/>
        </w:rPr>
        <w:t>the power </w:t>
      </w:r>
      <w:r>
        <w:rPr>
          <w:color w:val="3D413F"/>
          <w:w w:val="105"/>
        </w:rPr>
        <w:t>to </w:t>
      </w:r>
      <w:r>
        <w:rPr>
          <w:color w:val="2F3131"/>
          <w:w w:val="105"/>
        </w:rPr>
        <w:t>seize goods </w:t>
      </w:r>
      <w:r>
        <w:rPr>
          <w:color w:val="3D413F"/>
          <w:w w:val="105"/>
        </w:rPr>
        <w:t>in </w:t>
      </w:r>
      <w:r>
        <w:rPr>
          <w:color w:val="2F3131"/>
          <w:w w:val="105"/>
        </w:rPr>
        <w:t>cases where it is suspected </w:t>
      </w:r>
      <w:r>
        <w:rPr>
          <w:color w:val="3D413F"/>
          <w:w w:val="105"/>
        </w:rPr>
        <w:t>that </w:t>
      </w:r>
      <w:r>
        <w:rPr>
          <w:color w:val="2F3131"/>
          <w:w w:val="105"/>
        </w:rPr>
        <w:t>the user of protected </w:t>
      </w:r>
      <w:r>
        <w:rPr>
          <w:color w:val="3D413F"/>
          <w:w w:val="105"/>
        </w:rPr>
        <w:t>indicia </w:t>
      </w:r>
      <w:r>
        <w:rPr>
          <w:color w:val="2F3131"/>
          <w:w w:val="105"/>
        </w:rPr>
        <w:t>and </w:t>
      </w:r>
      <w:r>
        <w:rPr>
          <w:color w:val="3D413F"/>
          <w:w w:val="105"/>
        </w:rPr>
        <w:t>images </w:t>
      </w:r>
      <w:r>
        <w:rPr>
          <w:color w:val="2F3131"/>
          <w:w w:val="105"/>
        </w:rPr>
        <w:t>is not authorised </w:t>
      </w:r>
      <w:r>
        <w:rPr>
          <w:color w:val="3D413F"/>
          <w:w w:val="105"/>
        </w:rPr>
        <w:t>to </w:t>
      </w:r>
      <w:r>
        <w:rPr>
          <w:color w:val="2F3131"/>
          <w:w w:val="105"/>
        </w:rPr>
        <w:t>do so. The ACBPS will manage </w:t>
      </w:r>
      <w:r>
        <w:rPr>
          <w:color w:val="3D413F"/>
          <w:w w:val="105"/>
        </w:rPr>
        <w:t>the </w:t>
      </w:r>
      <w:r>
        <w:rPr>
          <w:color w:val="2F3131"/>
          <w:w w:val="105"/>
        </w:rPr>
        <w:t>import provisions </w:t>
      </w:r>
      <w:r>
        <w:rPr>
          <w:color w:val="3D413F"/>
          <w:w w:val="105"/>
        </w:rPr>
        <w:t>through </w:t>
      </w:r>
      <w:r>
        <w:rPr>
          <w:color w:val="2F3131"/>
          <w:w w:val="105"/>
        </w:rPr>
        <w:t>the existing Notice of Objection</w:t>
      </w:r>
      <w:r>
        <w:rPr>
          <w:color w:val="2F3131"/>
          <w:spacing w:val="52"/>
          <w:w w:val="105"/>
        </w:rPr>
        <w:t> </w:t>
      </w:r>
      <w:r>
        <w:rPr>
          <w:color w:val="2F3131"/>
          <w:w w:val="105"/>
        </w:rPr>
        <w:t>Scheme.</w:t>
      </w:r>
    </w:p>
    <w:p>
      <w:pPr>
        <w:pStyle w:val="BodyText"/>
        <w:spacing w:before="13"/>
        <w:rPr>
          <w:sz w:val="16"/>
        </w:rPr>
      </w:pPr>
    </w:p>
    <w:p>
      <w:pPr>
        <w:pStyle w:val="Heading1"/>
      </w:pPr>
      <w:r>
        <w:rPr>
          <w:color w:val="2F3131"/>
          <w:w w:val="105"/>
        </w:rPr>
        <w:t>Notice of Objection to Importation</w:t>
      </w:r>
    </w:p>
    <w:p>
      <w:pPr>
        <w:pStyle w:val="BodyText"/>
        <w:spacing w:before="11"/>
        <w:rPr>
          <w:rFonts w:ascii="Arial"/>
          <w:b/>
          <w:sz w:val="20"/>
        </w:rPr>
      </w:pPr>
    </w:p>
    <w:p>
      <w:pPr>
        <w:pStyle w:val="BodyText"/>
        <w:spacing w:line="218" w:lineRule="auto"/>
        <w:ind w:left="964" w:right="203" w:firstLine="1"/>
      </w:pPr>
      <w:r>
        <w:rPr>
          <w:color w:val="2F3131"/>
          <w:w w:val="105"/>
        </w:rPr>
        <w:t>A Notice of Objection can be lodged at any </w:t>
      </w:r>
      <w:r>
        <w:rPr>
          <w:color w:val="3D413F"/>
          <w:w w:val="105"/>
        </w:rPr>
        <w:t>time </w:t>
      </w:r>
      <w:r>
        <w:rPr>
          <w:color w:val="2F3131"/>
          <w:w w:val="105"/>
        </w:rPr>
        <w:t>by a rights holder </w:t>
      </w:r>
      <w:r>
        <w:rPr>
          <w:color w:val="3D413F"/>
          <w:w w:val="105"/>
        </w:rPr>
        <w:t>or authorised user (objector) </w:t>
      </w:r>
      <w:r>
        <w:rPr>
          <w:color w:val="2F3131"/>
          <w:w w:val="105"/>
        </w:rPr>
        <w:t>under section </w:t>
      </w:r>
      <w:r>
        <w:rPr>
          <w:color w:val="3D413F"/>
          <w:w w:val="105"/>
        </w:rPr>
        <w:t>23 </w:t>
      </w:r>
      <w:r>
        <w:rPr>
          <w:color w:val="2F3131"/>
          <w:w w:val="105"/>
        </w:rPr>
        <w:t>of the Act. The Notice of Objection will </w:t>
      </w:r>
      <w:r>
        <w:rPr>
          <w:color w:val="3D413F"/>
          <w:w w:val="105"/>
        </w:rPr>
        <w:t>have effect in </w:t>
      </w:r>
      <w:r>
        <w:rPr>
          <w:color w:val="2F3131"/>
          <w:w w:val="105"/>
        </w:rPr>
        <w:t>relation </w:t>
      </w:r>
      <w:r>
        <w:rPr>
          <w:color w:val="3D413F"/>
          <w:w w:val="105"/>
        </w:rPr>
        <w:t>to imported </w:t>
      </w:r>
      <w:r>
        <w:rPr>
          <w:color w:val="2F3131"/>
          <w:w w:val="105"/>
        </w:rPr>
        <w:t>goods bearing protected </w:t>
      </w:r>
      <w:r>
        <w:rPr>
          <w:color w:val="3D413F"/>
          <w:w w:val="105"/>
        </w:rPr>
        <w:t>indicia </w:t>
      </w:r>
      <w:r>
        <w:rPr>
          <w:color w:val="2F3131"/>
          <w:w w:val="105"/>
        </w:rPr>
        <w:t>and images associated with a major sporting event, where the use of the </w:t>
      </w:r>
      <w:r>
        <w:rPr>
          <w:color w:val="3D413F"/>
          <w:w w:val="105"/>
        </w:rPr>
        <w:t>indicia </w:t>
      </w:r>
      <w:r>
        <w:rPr>
          <w:color w:val="2F3131"/>
          <w:w w:val="105"/>
        </w:rPr>
        <w:t>and images by </w:t>
      </w:r>
      <w:r>
        <w:rPr>
          <w:color w:val="3D413F"/>
          <w:w w:val="105"/>
        </w:rPr>
        <w:t>the </w:t>
      </w:r>
      <w:r>
        <w:rPr>
          <w:color w:val="2F3131"/>
          <w:w w:val="105"/>
        </w:rPr>
        <w:t>designated  owner is not authorised. Once accepted by </w:t>
      </w:r>
      <w:r>
        <w:rPr>
          <w:color w:val="3D413F"/>
          <w:w w:val="105"/>
        </w:rPr>
        <w:t>the </w:t>
      </w:r>
      <w:r>
        <w:rPr>
          <w:color w:val="2F3131"/>
          <w:w w:val="105"/>
        </w:rPr>
        <w:t>ACBPS, and unless revoked, a Notice of Objection will </w:t>
      </w:r>
      <w:r>
        <w:rPr>
          <w:color w:val="3D413F"/>
          <w:w w:val="105"/>
        </w:rPr>
        <w:t>remain in </w:t>
      </w:r>
      <w:r>
        <w:rPr>
          <w:color w:val="2F3131"/>
          <w:w w:val="105"/>
        </w:rPr>
        <w:t>force for that event's protection period, as defined by the</w:t>
      </w:r>
      <w:r>
        <w:rPr>
          <w:color w:val="2F3131"/>
          <w:spacing w:val="49"/>
          <w:w w:val="105"/>
        </w:rPr>
        <w:t> </w:t>
      </w:r>
      <w:r>
        <w:rPr>
          <w:color w:val="2F3131"/>
          <w:w w:val="105"/>
        </w:rPr>
        <w:t>Act.</w:t>
      </w:r>
    </w:p>
    <w:p>
      <w:pPr>
        <w:pStyle w:val="BodyText"/>
        <w:rPr>
          <w:sz w:val="17"/>
        </w:rPr>
      </w:pPr>
    </w:p>
    <w:p>
      <w:pPr>
        <w:pStyle w:val="BodyText"/>
        <w:spacing w:line="216" w:lineRule="auto"/>
        <w:ind w:left="963" w:right="200" w:firstLine="3"/>
        <w:rPr>
          <w:rFonts w:ascii="Arial"/>
          <w:i/>
        </w:rPr>
      </w:pPr>
      <w:r>
        <w:rPr>
          <w:color w:val="2F3131"/>
          <w:w w:val="105"/>
        </w:rPr>
        <w:t>The legislative scheme does not provide for the seizure of goods which are imported for </w:t>
      </w:r>
      <w:r>
        <w:rPr>
          <w:color w:val="3D413F"/>
          <w:w w:val="105"/>
        </w:rPr>
        <w:t>personal </w:t>
      </w:r>
      <w:r>
        <w:rPr>
          <w:color w:val="2F3131"/>
          <w:w w:val="105"/>
        </w:rPr>
        <w:t>use and not intended to be used for commercial purposes. It </w:t>
      </w:r>
      <w:r>
        <w:rPr>
          <w:color w:val="3D413F"/>
          <w:w w:val="105"/>
        </w:rPr>
        <w:t>is </w:t>
      </w:r>
      <w:r>
        <w:rPr>
          <w:color w:val="2F3131"/>
          <w:w w:val="105"/>
        </w:rPr>
        <w:t>important to note </w:t>
      </w:r>
      <w:r>
        <w:rPr>
          <w:color w:val="3D413F"/>
          <w:w w:val="105"/>
        </w:rPr>
        <w:t>that the </w:t>
      </w:r>
      <w:r>
        <w:rPr>
          <w:color w:val="2F3131"/>
          <w:w w:val="105"/>
        </w:rPr>
        <w:t>seizure powers are drawn directly from section 25 of the Act and should not be confused with the more general seizure provisions relating to customs search and seizure contained in the </w:t>
      </w:r>
      <w:r>
        <w:rPr>
          <w:rFonts w:ascii="Arial"/>
          <w:i/>
          <w:color w:val="2F3131"/>
          <w:w w:val="105"/>
        </w:rPr>
        <w:t>Customs Act 1901.</w:t>
      </w:r>
    </w:p>
    <w:p>
      <w:pPr>
        <w:pStyle w:val="BodyText"/>
        <w:spacing w:before="5"/>
        <w:rPr>
          <w:rFonts w:ascii="Arial"/>
          <w:i/>
          <w:sz w:val="20"/>
        </w:rPr>
      </w:pPr>
    </w:p>
    <w:p>
      <w:pPr>
        <w:pStyle w:val="BodyText"/>
        <w:spacing w:line="218" w:lineRule="auto"/>
        <w:ind w:left="968" w:right="286" w:hanging="2"/>
      </w:pPr>
      <w:r>
        <w:rPr>
          <w:color w:val="2F3131"/>
          <w:w w:val="105"/>
        </w:rPr>
        <w:t>The ACBPS is required by law to seize the imported goods </w:t>
      </w:r>
      <w:r>
        <w:rPr>
          <w:color w:val="2F3131"/>
          <w:w w:val="105"/>
          <w:u w:val="thick" w:color="2F3131"/>
        </w:rPr>
        <w:t>unless</w:t>
      </w:r>
      <w:r>
        <w:rPr>
          <w:color w:val="2F3131"/>
          <w:w w:val="105"/>
        </w:rPr>
        <w:t> there are no reasonable grounds for believing </w:t>
      </w:r>
      <w:r>
        <w:rPr>
          <w:color w:val="3D413F"/>
          <w:w w:val="105"/>
        </w:rPr>
        <w:t>that </w:t>
      </w:r>
      <w:r>
        <w:rPr>
          <w:color w:val="2F3131"/>
          <w:w w:val="105"/>
        </w:rPr>
        <w:t>the Act would be contravened.</w:t>
      </w:r>
    </w:p>
    <w:p>
      <w:pPr>
        <w:pStyle w:val="BodyText"/>
        <w:spacing w:before="1"/>
        <w:rPr>
          <w:sz w:val="17"/>
        </w:rPr>
      </w:pPr>
    </w:p>
    <w:p>
      <w:pPr>
        <w:pStyle w:val="BodyText"/>
        <w:spacing w:line="218" w:lineRule="auto"/>
        <w:ind w:left="968" w:hanging="2"/>
      </w:pPr>
      <w:r>
        <w:rPr>
          <w:color w:val="2F3131"/>
          <w:w w:val="105"/>
        </w:rPr>
        <w:t>The following </w:t>
      </w:r>
      <w:r>
        <w:rPr>
          <w:color w:val="3D413F"/>
          <w:w w:val="105"/>
        </w:rPr>
        <w:t>three </w:t>
      </w:r>
      <w:r>
        <w:rPr>
          <w:color w:val="2F3131"/>
          <w:w w:val="105"/>
        </w:rPr>
        <w:t>events are covered </w:t>
      </w:r>
      <w:r>
        <w:rPr>
          <w:color w:val="212121"/>
          <w:w w:val="105"/>
        </w:rPr>
        <w:t>in </w:t>
      </w:r>
      <w:r>
        <w:rPr>
          <w:color w:val="2F3131"/>
          <w:w w:val="105"/>
        </w:rPr>
        <w:t>the Act, and designated owners/importers should make themselves aware of any Notices of Objection </w:t>
      </w:r>
      <w:r>
        <w:rPr>
          <w:color w:val="3D413F"/>
          <w:w w:val="105"/>
        </w:rPr>
        <w:t>in </w:t>
      </w:r>
      <w:r>
        <w:rPr>
          <w:color w:val="2F3131"/>
          <w:w w:val="105"/>
        </w:rPr>
        <w:t>place with the ACBPS in relation </w:t>
      </w:r>
      <w:r>
        <w:rPr>
          <w:color w:val="3D413F"/>
          <w:w w:val="105"/>
        </w:rPr>
        <w:t>to </w:t>
      </w:r>
      <w:r>
        <w:rPr>
          <w:color w:val="2F3131"/>
          <w:w w:val="105"/>
        </w:rPr>
        <w:t>those events:</w:t>
      </w:r>
    </w:p>
    <w:p>
      <w:pPr>
        <w:pStyle w:val="BodyText"/>
        <w:spacing w:before="10"/>
        <w:rPr>
          <w:sz w:val="16"/>
        </w:rPr>
      </w:pPr>
    </w:p>
    <w:p>
      <w:pPr>
        <w:pStyle w:val="ListParagraph"/>
        <w:numPr>
          <w:ilvl w:val="0"/>
          <w:numId w:val="1"/>
        </w:numPr>
        <w:tabs>
          <w:tab w:pos="1691" w:val="left" w:leader="none"/>
          <w:tab w:pos="1692" w:val="left" w:leader="none"/>
        </w:tabs>
        <w:spacing w:line="240" w:lineRule="auto" w:before="1" w:after="0"/>
        <w:ind w:left="1691" w:right="0" w:hanging="366"/>
        <w:jc w:val="left"/>
        <w:rPr>
          <w:i/>
          <w:color w:val="2F3131"/>
          <w:sz w:val="19"/>
        </w:rPr>
      </w:pPr>
      <w:r>
        <w:rPr>
          <w:rFonts w:ascii="Arial" w:hAnsi="Arial"/>
          <w:i/>
          <w:color w:val="2F3131"/>
          <w:w w:val="105"/>
          <w:sz w:val="19"/>
        </w:rPr>
        <w:t>Asian Cup</w:t>
      </w:r>
      <w:r>
        <w:rPr>
          <w:rFonts w:ascii="Arial" w:hAnsi="Arial"/>
          <w:i/>
          <w:color w:val="2F3131"/>
          <w:spacing w:val="12"/>
          <w:w w:val="105"/>
          <w:sz w:val="19"/>
        </w:rPr>
        <w:t> </w:t>
      </w:r>
      <w:r>
        <w:rPr>
          <w:rFonts w:ascii="Arial" w:hAnsi="Arial"/>
          <w:i/>
          <w:color w:val="2F3131"/>
          <w:w w:val="105"/>
          <w:sz w:val="19"/>
        </w:rPr>
        <w:t>2015</w:t>
      </w:r>
    </w:p>
    <w:p>
      <w:pPr>
        <w:pStyle w:val="ListParagraph"/>
        <w:numPr>
          <w:ilvl w:val="0"/>
          <w:numId w:val="1"/>
        </w:numPr>
        <w:tabs>
          <w:tab w:pos="1694" w:val="left" w:leader="none"/>
          <w:tab w:pos="1695" w:val="left" w:leader="none"/>
        </w:tabs>
        <w:spacing w:line="240" w:lineRule="auto" w:before="19" w:after="0"/>
        <w:ind w:left="1694" w:right="0" w:hanging="369"/>
        <w:jc w:val="left"/>
        <w:rPr>
          <w:i/>
          <w:color w:val="2F3131"/>
          <w:sz w:val="19"/>
        </w:rPr>
      </w:pPr>
      <w:r>
        <w:rPr>
          <w:rFonts w:ascii="Arial" w:hAnsi="Arial"/>
          <w:i/>
          <w:color w:val="2F3131"/>
          <w:w w:val="105"/>
          <w:sz w:val="19"/>
        </w:rPr>
        <w:t>Cricket World Cup</w:t>
      </w:r>
      <w:r>
        <w:rPr>
          <w:rFonts w:ascii="Arial" w:hAnsi="Arial"/>
          <w:i/>
          <w:color w:val="2F3131"/>
          <w:spacing w:val="29"/>
          <w:w w:val="105"/>
          <w:sz w:val="19"/>
        </w:rPr>
        <w:t> </w:t>
      </w:r>
      <w:r>
        <w:rPr>
          <w:rFonts w:ascii="Arial" w:hAnsi="Arial"/>
          <w:i/>
          <w:color w:val="2F3131"/>
          <w:w w:val="105"/>
          <w:sz w:val="19"/>
        </w:rPr>
        <w:t>2015</w:t>
      </w:r>
    </w:p>
    <w:p>
      <w:pPr>
        <w:pStyle w:val="ListParagraph"/>
        <w:numPr>
          <w:ilvl w:val="0"/>
          <w:numId w:val="1"/>
        </w:numPr>
        <w:tabs>
          <w:tab w:pos="1693" w:val="left" w:leader="none"/>
          <w:tab w:pos="1694" w:val="left" w:leader="none"/>
        </w:tabs>
        <w:spacing w:line="240" w:lineRule="auto" w:before="19" w:after="0"/>
        <w:ind w:left="1693" w:right="0" w:hanging="368"/>
        <w:jc w:val="left"/>
        <w:rPr>
          <w:i/>
          <w:color w:val="2F3131"/>
          <w:sz w:val="19"/>
        </w:rPr>
      </w:pPr>
      <w:r>
        <w:rPr>
          <w:rFonts w:ascii="Arial" w:hAnsi="Arial"/>
          <w:i/>
          <w:color w:val="2F3131"/>
          <w:w w:val="105"/>
          <w:sz w:val="19"/>
        </w:rPr>
        <w:t>Gold Coast Commonwealth Games</w:t>
      </w:r>
      <w:r>
        <w:rPr>
          <w:rFonts w:ascii="Arial" w:hAnsi="Arial"/>
          <w:i/>
          <w:color w:val="2F3131"/>
          <w:spacing w:val="-6"/>
          <w:w w:val="105"/>
          <w:sz w:val="19"/>
        </w:rPr>
        <w:t> </w:t>
      </w:r>
      <w:r>
        <w:rPr>
          <w:rFonts w:ascii="Arial" w:hAnsi="Arial"/>
          <w:i/>
          <w:color w:val="2F3131"/>
          <w:w w:val="105"/>
          <w:sz w:val="19"/>
        </w:rPr>
        <w:t>2018</w:t>
      </w:r>
    </w:p>
    <w:p>
      <w:pPr>
        <w:pStyle w:val="BodyText"/>
        <w:spacing w:before="10"/>
        <w:rPr>
          <w:rFonts w:ascii="Arial"/>
          <w:i/>
          <w:sz w:val="18"/>
        </w:rPr>
      </w:pPr>
    </w:p>
    <w:p>
      <w:pPr>
        <w:pStyle w:val="BodyText"/>
        <w:ind w:left="971"/>
      </w:pPr>
      <w:r>
        <w:rPr>
          <w:color w:val="2F3131"/>
          <w:w w:val="105"/>
        </w:rPr>
        <w:t>Additional major sporting events may also be added to the Act at any time.</w:t>
      </w:r>
    </w:p>
    <w:p>
      <w:pPr>
        <w:pStyle w:val="BodyText"/>
        <w:spacing w:before="12"/>
        <w:rPr>
          <w:sz w:val="16"/>
        </w:rPr>
      </w:pPr>
    </w:p>
    <w:p>
      <w:pPr>
        <w:pStyle w:val="Heading1"/>
      </w:pPr>
      <w:r>
        <w:rPr>
          <w:color w:val="2F3131"/>
          <w:w w:val="105"/>
        </w:rPr>
        <w:t>Notice of Seizure</w:t>
      </w:r>
    </w:p>
    <w:p>
      <w:pPr>
        <w:pStyle w:val="BodyText"/>
        <w:spacing w:before="2"/>
        <w:rPr>
          <w:rFonts w:ascii="Arial"/>
          <w:b/>
          <w:sz w:val="21"/>
        </w:rPr>
      </w:pPr>
    </w:p>
    <w:p>
      <w:pPr>
        <w:pStyle w:val="BodyText"/>
        <w:spacing w:line="216" w:lineRule="auto"/>
        <w:ind w:left="968" w:hanging="3"/>
      </w:pPr>
      <w:r>
        <w:rPr>
          <w:color w:val="2F3131"/>
          <w:w w:val="105"/>
        </w:rPr>
        <w:t>Following the seizure of goods suspected of bearing protected indicia and </w:t>
      </w:r>
      <w:r>
        <w:rPr>
          <w:color w:val="3D413F"/>
          <w:w w:val="105"/>
        </w:rPr>
        <w:t>images </w:t>
      </w:r>
      <w:r>
        <w:rPr>
          <w:color w:val="2F3131"/>
          <w:w w:val="105"/>
        </w:rPr>
        <w:t>without authorisation, </w:t>
      </w:r>
      <w:r>
        <w:rPr>
          <w:color w:val="3D413F"/>
          <w:w w:val="105"/>
        </w:rPr>
        <w:t>the </w:t>
      </w:r>
      <w:r>
        <w:rPr>
          <w:color w:val="2F3131"/>
          <w:w w:val="105"/>
        </w:rPr>
        <w:t>ACBPS will </w:t>
      </w:r>
      <w:r>
        <w:rPr>
          <w:color w:val="212121"/>
          <w:w w:val="105"/>
        </w:rPr>
        <w:t>issue </w:t>
      </w:r>
      <w:r>
        <w:rPr>
          <w:color w:val="2F3131"/>
          <w:w w:val="105"/>
        </w:rPr>
        <w:t>a written notification (Notice of Seizure) identifying the goods and stating that the goods have been seized </w:t>
      </w:r>
      <w:r>
        <w:rPr>
          <w:color w:val="212121"/>
          <w:w w:val="105"/>
        </w:rPr>
        <w:t>to </w:t>
      </w:r>
      <w:r>
        <w:rPr>
          <w:color w:val="2F3131"/>
          <w:w w:val="105"/>
        </w:rPr>
        <w:t>both the designated owner and objector.</w:t>
      </w:r>
    </w:p>
    <w:p>
      <w:pPr>
        <w:pStyle w:val="BodyText"/>
        <w:spacing w:before="2"/>
        <w:rPr>
          <w:sz w:val="17"/>
        </w:rPr>
      </w:pPr>
    </w:p>
    <w:p>
      <w:pPr>
        <w:pStyle w:val="Heading1"/>
        <w:ind w:left="967"/>
      </w:pPr>
      <w:r>
        <w:rPr>
          <w:color w:val="2F3131"/>
          <w:w w:val="105"/>
        </w:rPr>
        <w:t>Claim </w:t>
      </w:r>
      <w:r>
        <w:rPr>
          <w:color w:val="212121"/>
          <w:w w:val="105"/>
        </w:rPr>
        <w:t>for </w:t>
      </w:r>
      <w:r>
        <w:rPr>
          <w:color w:val="2F3131"/>
          <w:w w:val="105"/>
        </w:rPr>
        <w:t>Release </w:t>
      </w:r>
      <w:r>
        <w:rPr>
          <w:color w:val="212121"/>
          <w:w w:val="105"/>
        </w:rPr>
        <w:t>of Goods</w:t>
      </w:r>
    </w:p>
    <w:p>
      <w:pPr>
        <w:pStyle w:val="BodyText"/>
        <w:spacing w:before="7"/>
        <w:rPr>
          <w:rFonts w:ascii="Arial"/>
          <w:b/>
          <w:sz w:val="20"/>
        </w:rPr>
      </w:pPr>
    </w:p>
    <w:p>
      <w:pPr>
        <w:pStyle w:val="BodyText"/>
        <w:spacing w:line="218" w:lineRule="auto"/>
        <w:ind w:left="967" w:right="200" w:firstLine="5"/>
      </w:pPr>
      <w:r>
        <w:rPr>
          <w:color w:val="2F3131"/>
          <w:w w:val="105"/>
        </w:rPr>
        <w:t>If a designated owner considers there to be suitable grounds for the release of their seized goods, </w:t>
      </w:r>
      <w:r>
        <w:rPr>
          <w:color w:val="212121"/>
          <w:w w:val="105"/>
        </w:rPr>
        <w:t>they </w:t>
      </w:r>
      <w:r>
        <w:rPr>
          <w:color w:val="2F3131"/>
          <w:w w:val="105"/>
        </w:rPr>
        <w:t>may make a </w:t>
      </w:r>
      <w:r>
        <w:rPr>
          <w:color w:val="212121"/>
          <w:w w:val="105"/>
        </w:rPr>
        <w:t>claim </w:t>
      </w:r>
      <w:r>
        <w:rPr>
          <w:color w:val="2F3131"/>
          <w:w w:val="105"/>
        </w:rPr>
        <w:t>to </w:t>
      </w:r>
      <w:r>
        <w:rPr>
          <w:color w:val="212121"/>
          <w:w w:val="105"/>
        </w:rPr>
        <w:t>have </w:t>
      </w:r>
      <w:r>
        <w:rPr>
          <w:color w:val="2F3131"/>
          <w:w w:val="105"/>
        </w:rPr>
        <w:t>the </w:t>
      </w:r>
      <w:r>
        <w:rPr>
          <w:color w:val="212121"/>
          <w:w w:val="105"/>
        </w:rPr>
        <w:t>goods </w:t>
      </w:r>
      <w:r>
        <w:rPr>
          <w:color w:val="2F3131"/>
          <w:w w:val="105"/>
        </w:rPr>
        <w:t>released by the ACBPS. A claim for the release of goods must be submitted to the ACBPS within </w:t>
      </w:r>
      <w:r>
        <w:rPr>
          <w:color w:val="212121"/>
          <w:w w:val="105"/>
        </w:rPr>
        <w:t>10 </w:t>
      </w:r>
      <w:r>
        <w:rPr>
          <w:color w:val="2F3131"/>
          <w:w w:val="105"/>
        </w:rPr>
        <w:t>working days from the day the </w:t>
      </w:r>
      <w:r>
        <w:rPr>
          <w:color w:val="212121"/>
          <w:w w:val="105"/>
        </w:rPr>
        <w:t>Notice </w:t>
      </w:r>
      <w:r>
        <w:rPr>
          <w:color w:val="2F3131"/>
          <w:w w:val="105"/>
        </w:rPr>
        <w:t>of </w:t>
      </w:r>
      <w:r>
        <w:rPr>
          <w:color w:val="212121"/>
          <w:w w:val="105"/>
        </w:rPr>
        <w:t>Se</w:t>
      </w:r>
      <w:r>
        <w:rPr>
          <w:color w:val="3D413F"/>
          <w:w w:val="105"/>
        </w:rPr>
        <w:t>iz</w:t>
      </w:r>
      <w:r>
        <w:rPr>
          <w:color w:val="212121"/>
          <w:w w:val="105"/>
        </w:rPr>
        <w:t>ure </w:t>
      </w:r>
      <w:r>
        <w:rPr>
          <w:color w:val="2F3131"/>
          <w:w w:val="105"/>
        </w:rPr>
        <w:t>was issued.</w:t>
      </w:r>
    </w:p>
    <w:p>
      <w:pPr>
        <w:pStyle w:val="BodyText"/>
        <w:rPr>
          <w:sz w:val="20"/>
        </w:rPr>
      </w:pPr>
    </w:p>
    <w:p>
      <w:pPr>
        <w:pStyle w:val="BodyText"/>
        <w:rPr>
          <w:sz w:val="20"/>
        </w:rPr>
      </w:pPr>
    </w:p>
    <w:p>
      <w:pPr>
        <w:pStyle w:val="BodyText"/>
        <w:spacing w:before="1"/>
        <w:rPr>
          <w:sz w:val="29"/>
        </w:rPr>
      </w:pPr>
      <w:r>
        <w:rPr/>
        <w:drawing>
          <wp:anchor distT="0" distB="0" distL="0" distR="0" allowOverlap="1" layoutInCell="1" locked="0" behindDoc="0" simplePos="0" relativeHeight="1">
            <wp:simplePos x="0" y="0"/>
            <wp:positionH relativeFrom="page">
              <wp:posOffset>24424</wp:posOffset>
            </wp:positionH>
            <wp:positionV relativeFrom="paragraph">
              <wp:posOffset>272663</wp:posOffset>
            </wp:positionV>
            <wp:extent cx="2097957" cy="36576"/>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097957" cy="36576"/>
                    </a:xfrm>
                    <a:prstGeom prst="rect">
                      <a:avLst/>
                    </a:prstGeom>
                  </pic:spPr>
                </pic:pic>
              </a:graphicData>
            </a:graphic>
          </wp:anchor>
        </w:drawing>
      </w:r>
      <w:r>
        <w:rPr/>
        <w:pict>
          <v:shape style="position:absolute;margin-left:479.845245pt;margin-top:23.872189pt;width:59.65pt;height:.1pt;mso-position-horizontal-relative:page;mso-position-vertical-relative:paragraph;z-index:-15727616;mso-wrap-distance-left:0;mso-wrap-distance-right:0" coordorigin="9597,477" coordsize="1193,0" path="m9597,477l10789,477e" filled="false" stroked="true" strokeweight=".240296pt" strokecolor="#000000">
            <v:path arrowok="t"/>
            <v:stroke dashstyle="solid"/>
            <w10:wrap type="topAndBottom"/>
          </v:shape>
        </w:pict>
      </w:r>
    </w:p>
    <w:p>
      <w:pPr>
        <w:spacing w:after="0"/>
        <w:rPr>
          <w:sz w:val="29"/>
        </w:rPr>
        <w:sectPr>
          <w:type w:val="continuous"/>
          <w:pgSz w:w="11900" w:h="16840"/>
          <w:pgMar w:top="1100" w:bottom="0" w:left="0" w:right="820"/>
        </w:sectPr>
      </w:pPr>
    </w:p>
    <w:p>
      <w:pPr>
        <w:pStyle w:val="BodyText"/>
        <w:spacing w:line="218" w:lineRule="auto" w:before="99"/>
        <w:ind w:left="959" w:right="200" w:firstLine="1"/>
      </w:pPr>
      <w:bookmarkStart w:name="Page 2" w:id="2"/>
      <w:bookmarkEnd w:id="2"/>
      <w:r>
        <w:rPr/>
      </w:r>
      <w:r>
        <w:rPr>
          <w:color w:val="2D2F2F"/>
          <w:w w:val="105"/>
        </w:rPr>
        <w:t>Designated owners should be aware that making a claim for the release of goods does not constitute automatic release. If a claim for the release of seized goods is made the objector will be notified and will have the opportunity to, within 10 working days, commence court action. If an objector does not commence court action within the designated timeframe the seized goods may be released to the designated owner subject to all other requirements being met.</w:t>
      </w:r>
    </w:p>
    <w:p>
      <w:pPr>
        <w:pStyle w:val="BodyText"/>
        <w:spacing w:before="3"/>
        <w:rPr>
          <w:sz w:val="17"/>
        </w:rPr>
      </w:pPr>
    </w:p>
    <w:p>
      <w:pPr>
        <w:pStyle w:val="BodyText"/>
        <w:spacing w:line="218" w:lineRule="auto"/>
        <w:ind w:left="958" w:right="200" w:firstLine="9"/>
      </w:pPr>
      <w:r>
        <w:rPr>
          <w:color w:val="2D2F2F"/>
          <w:w w:val="105"/>
        </w:rPr>
        <w:t>If the ACBPS does not receive a claim for release of goods within the designated timeframe, the seized goods will be deemed to be forfeited to the Commonwealth and will be disposed of after being held for an additional 30 days. In cases where a designated owner is not able to make a claim within the designated timeframe, a late claim for the release of goods may be submitted. The ACBPS will assess the late claim, and may release goods if:</w:t>
      </w:r>
    </w:p>
    <w:p>
      <w:pPr>
        <w:pStyle w:val="BodyText"/>
        <w:spacing w:before="5"/>
        <w:rPr>
          <w:sz w:val="8"/>
        </w:rPr>
      </w:pPr>
    </w:p>
    <w:p>
      <w:pPr>
        <w:pStyle w:val="ListParagraph"/>
        <w:numPr>
          <w:ilvl w:val="0"/>
          <w:numId w:val="2"/>
        </w:numPr>
        <w:tabs>
          <w:tab w:pos="1694" w:val="left" w:leader="none"/>
        </w:tabs>
        <w:spacing w:line="240" w:lineRule="auto" w:before="100" w:after="0"/>
        <w:ind w:left="1694" w:right="0" w:hanging="360"/>
        <w:jc w:val="left"/>
        <w:rPr>
          <w:sz w:val="19"/>
        </w:rPr>
      </w:pPr>
      <w:r>
        <w:rPr>
          <w:color w:val="2D2F2F"/>
          <w:w w:val="105"/>
          <w:sz w:val="19"/>
        </w:rPr>
        <w:t>there are reasonable circumstances for the late</w:t>
      </w:r>
      <w:r>
        <w:rPr>
          <w:color w:val="2D2F2F"/>
          <w:spacing w:val="25"/>
          <w:w w:val="105"/>
          <w:sz w:val="19"/>
        </w:rPr>
        <w:t> </w:t>
      </w:r>
      <w:r>
        <w:rPr>
          <w:color w:val="2D2F2F"/>
          <w:w w:val="105"/>
          <w:sz w:val="19"/>
        </w:rPr>
        <w:t>claim</w:t>
      </w:r>
    </w:p>
    <w:p>
      <w:pPr>
        <w:pStyle w:val="ListParagraph"/>
        <w:numPr>
          <w:ilvl w:val="0"/>
          <w:numId w:val="2"/>
        </w:numPr>
        <w:tabs>
          <w:tab w:pos="1695" w:val="left" w:leader="none"/>
        </w:tabs>
        <w:spacing w:line="240" w:lineRule="auto" w:before="10" w:after="0"/>
        <w:ind w:left="1694" w:right="0" w:hanging="362"/>
        <w:jc w:val="left"/>
        <w:rPr>
          <w:sz w:val="19"/>
        </w:rPr>
      </w:pPr>
      <w:r>
        <w:rPr>
          <w:color w:val="2D2F2F"/>
          <w:w w:val="105"/>
          <w:sz w:val="19"/>
        </w:rPr>
        <w:t>court action has not been commenced by the objector,</w:t>
      </w:r>
      <w:r>
        <w:rPr>
          <w:color w:val="2D2F2F"/>
          <w:spacing w:val="52"/>
          <w:w w:val="105"/>
          <w:sz w:val="19"/>
        </w:rPr>
        <w:t> </w:t>
      </w:r>
      <w:r>
        <w:rPr>
          <w:color w:val="2D2F2F"/>
          <w:w w:val="105"/>
          <w:sz w:val="19"/>
        </w:rPr>
        <w:t>and</w:t>
      </w:r>
    </w:p>
    <w:p>
      <w:pPr>
        <w:pStyle w:val="ListParagraph"/>
        <w:numPr>
          <w:ilvl w:val="0"/>
          <w:numId w:val="2"/>
        </w:numPr>
        <w:tabs>
          <w:tab w:pos="1694" w:val="left" w:leader="none"/>
        </w:tabs>
        <w:spacing w:line="240" w:lineRule="auto" w:before="5" w:after="0"/>
        <w:ind w:left="1694" w:right="0" w:hanging="365"/>
        <w:jc w:val="left"/>
        <w:rPr>
          <w:sz w:val="19"/>
        </w:rPr>
      </w:pPr>
      <w:r>
        <w:rPr>
          <w:color w:val="2D2F2F"/>
          <w:w w:val="105"/>
          <w:sz w:val="19"/>
        </w:rPr>
        <w:t>the goods have not been disposed</w:t>
      </w:r>
      <w:r>
        <w:rPr>
          <w:color w:val="2D2F2F"/>
          <w:spacing w:val="23"/>
          <w:w w:val="105"/>
          <w:sz w:val="19"/>
        </w:rPr>
        <w:t> </w:t>
      </w:r>
      <w:r>
        <w:rPr>
          <w:color w:val="2D2F2F"/>
          <w:w w:val="105"/>
          <w:sz w:val="19"/>
        </w:rPr>
        <w:t>of.</w:t>
      </w:r>
    </w:p>
    <w:p>
      <w:pPr>
        <w:pStyle w:val="BodyText"/>
        <w:spacing w:before="8"/>
        <w:rPr>
          <w:sz w:val="17"/>
        </w:rPr>
      </w:pPr>
    </w:p>
    <w:p>
      <w:pPr>
        <w:pStyle w:val="Heading1"/>
        <w:spacing w:before="1"/>
        <w:ind w:left="962"/>
      </w:pPr>
      <w:r>
        <w:rPr>
          <w:color w:val="2D2F2F"/>
          <w:w w:val="105"/>
        </w:rPr>
        <w:t>Consent to Forfeit Goods</w:t>
      </w:r>
    </w:p>
    <w:p>
      <w:pPr>
        <w:pStyle w:val="BodyText"/>
        <w:spacing w:before="6"/>
        <w:rPr>
          <w:rFonts w:ascii="Arial"/>
          <w:b/>
          <w:sz w:val="20"/>
        </w:rPr>
      </w:pPr>
    </w:p>
    <w:p>
      <w:pPr>
        <w:pStyle w:val="BodyText"/>
        <w:spacing w:line="218" w:lineRule="auto"/>
        <w:ind w:left="963" w:right="223" w:hanging="1"/>
      </w:pPr>
      <w:r>
        <w:rPr>
          <w:color w:val="2D2F2F"/>
          <w:w w:val="105"/>
        </w:rPr>
        <w:t>The designated owner of seized goods may, at any time before an objector commences court action in relation to the goods, consent to the goods being forfeited to the Commonwealth by giving written notice to the ACBPS.</w:t>
      </w:r>
    </w:p>
    <w:p>
      <w:pPr>
        <w:pStyle w:val="BodyText"/>
        <w:spacing w:before="7"/>
        <w:rPr>
          <w:sz w:val="17"/>
        </w:rPr>
      </w:pPr>
    </w:p>
    <w:p>
      <w:pPr>
        <w:pStyle w:val="Heading1"/>
        <w:ind w:left="962"/>
      </w:pPr>
      <w:r>
        <w:rPr>
          <w:color w:val="2D2F2F"/>
          <w:w w:val="105"/>
        </w:rPr>
        <w:t>Release of Goods</w:t>
      </w:r>
    </w:p>
    <w:p>
      <w:pPr>
        <w:pStyle w:val="BodyText"/>
        <w:rPr>
          <w:rFonts w:ascii="Arial"/>
          <w:b/>
          <w:sz w:val="20"/>
        </w:rPr>
      </w:pPr>
    </w:p>
    <w:p>
      <w:pPr>
        <w:pStyle w:val="BodyText"/>
        <w:spacing w:line="220" w:lineRule="auto"/>
        <w:ind w:left="963" w:right="200" w:hanging="1"/>
      </w:pPr>
      <w:r>
        <w:rPr>
          <w:color w:val="2D2F2F"/>
          <w:w w:val="105"/>
        </w:rPr>
        <w:t>If the seized goods are not forfeited, a claim for release has been submitted, and the objector has not commenced court action within their designated timeframe, the ACBPS must release the goods to the designated owner. </w:t>
      </w:r>
      <w:r>
        <w:rPr>
          <w:color w:val="444646"/>
          <w:w w:val="105"/>
        </w:rPr>
        <w:t>The </w:t>
      </w:r>
      <w:r>
        <w:rPr>
          <w:color w:val="2D2F2F"/>
          <w:w w:val="105"/>
        </w:rPr>
        <w:t>decision by the ACBPS to release goods will be subject to all other requirements being met.</w:t>
      </w:r>
    </w:p>
    <w:p>
      <w:pPr>
        <w:pStyle w:val="BodyText"/>
        <w:spacing w:before="2"/>
        <w:rPr>
          <w:sz w:val="17"/>
        </w:rPr>
      </w:pPr>
    </w:p>
    <w:p>
      <w:pPr>
        <w:pStyle w:val="Heading1"/>
      </w:pPr>
      <w:r>
        <w:rPr>
          <w:color w:val="2D2F2F"/>
          <w:w w:val="105"/>
        </w:rPr>
        <w:t>Assistance to the ACBPS</w:t>
      </w:r>
    </w:p>
    <w:p>
      <w:pPr>
        <w:pStyle w:val="BodyText"/>
        <w:spacing w:before="4"/>
        <w:rPr>
          <w:rFonts w:ascii="Arial"/>
          <w:b/>
          <w:sz w:val="20"/>
        </w:rPr>
      </w:pPr>
    </w:p>
    <w:p>
      <w:pPr>
        <w:pStyle w:val="BodyText"/>
        <w:spacing w:line="220" w:lineRule="auto"/>
        <w:ind w:left="963" w:right="200" w:firstLine="56"/>
      </w:pPr>
      <w:r>
        <w:rPr>
          <w:color w:val="2D2F2F"/>
          <w:w w:val="105"/>
        </w:rPr>
        <w:t>The ACBPS will take all reasonable steps to carry out its obligations under this </w:t>
      </w:r>
      <w:r>
        <w:rPr>
          <w:color w:val="444646"/>
          <w:w w:val="105"/>
        </w:rPr>
        <w:t>legislation. The </w:t>
      </w:r>
      <w:r>
        <w:rPr>
          <w:color w:val="2D2F2F"/>
          <w:w w:val="105"/>
        </w:rPr>
        <w:t>ACBPS welcomes any information that may assist in </w:t>
      </w:r>
      <w:r>
        <w:rPr>
          <w:color w:val="444646"/>
          <w:w w:val="105"/>
        </w:rPr>
        <w:t>identifying </w:t>
      </w:r>
      <w:r>
        <w:rPr>
          <w:color w:val="2D2F2F"/>
          <w:w w:val="105"/>
        </w:rPr>
        <w:t>shipments that may contain infringing goods. Such information may include:</w:t>
      </w:r>
    </w:p>
    <w:p>
      <w:pPr>
        <w:pStyle w:val="BodyText"/>
        <w:spacing w:before="9"/>
        <w:rPr>
          <w:sz w:val="16"/>
        </w:rPr>
      </w:pPr>
    </w:p>
    <w:p>
      <w:pPr>
        <w:pStyle w:val="ListParagraph"/>
        <w:numPr>
          <w:ilvl w:val="0"/>
          <w:numId w:val="1"/>
        </w:numPr>
        <w:tabs>
          <w:tab w:pos="1693" w:val="left" w:leader="none"/>
          <w:tab w:pos="1694" w:val="left" w:leader="none"/>
        </w:tabs>
        <w:spacing w:line="240" w:lineRule="auto" w:before="0" w:after="0"/>
        <w:ind w:left="1693" w:right="0" w:hanging="363"/>
        <w:jc w:val="left"/>
        <w:rPr>
          <w:color w:val="2D2F2F"/>
          <w:sz w:val="19"/>
        </w:rPr>
      </w:pPr>
      <w:r>
        <w:rPr>
          <w:color w:val="2D2F2F"/>
          <w:w w:val="105"/>
          <w:sz w:val="19"/>
        </w:rPr>
        <w:t>name of importer/designated</w:t>
      </w:r>
      <w:r>
        <w:rPr>
          <w:color w:val="2D2F2F"/>
          <w:spacing w:val="-9"/>
          <w:w w:val="105"/>
          <w:sz w:val="19"/>
        </w:rPr>
        <w:t> </w:t>
      </w:r>
      <w:r>
        <w:rPr>
          <w:color w:val="2D2F2F"/>
          <w:w w:val="105"/>
          <w:sz w:val="19"/>
        </w:rPr>
        <w:t>owner</w:t>
      </w:r>
    </w:p>
    <w:p>
      <w:pPr>
        <w:pStyle w:val="ListParagraph"/>
        <w:numPr>
          <w:ilvl w:val="0"/>
          <w:numId w:val="1"/>
        </w:numPr>
        <w:tabs>
          <w:tab w:pos="1693" w:val="left" w:leader="none"/>
          <w:tab w:pos="1694" w:val="left" w:leader="none"/>
        </w:tabs>
        <w:spacing w:line="240" w:lineRule="auto" w:before="20" w:after="0"/>
        <w:ind w:left="1693" w:right="0" w:hanging="363"/>
        <w:jc w:val="left"/>
        <w:rPr>
          <w:color w:val="2D2F2F"/>
          <w:sz w:val="19"/>
        </w:rPr>
      </w:pPr>
      <w:r>
        <w:rPr>
          <w:color w:val="2D2F2F"/>
          <w:w w:val="105"/>
          <w:sz w:val="19"/>
        </w:rPr>
        <w:t>name of</w:t>
      </w:r>
      <w:r>
        <w:rPr>
          <w:color w:val="2D2F2F"/>
          <w:spacing w:val="8"/>
          <w:w w:val="105"/>
          <w:sz w:val="19"/>
        </w:rPr>
        <w:t> </w:t>
      </w:r>
      <w:r>
        <w:rPr>
          <w:color w:val="2D2F2F"/>
          <w:w w:val="105"/>
          <w:sz w:val="19"/>
        </w:rPr>
        <w:t>supplier/manufacturer</w:t>
      </w:r>
    </w:p>
    <w:p>
      <w:pPr>
        <w:pStyle w:val="ListParagraph"/>
        <w:numPr>
          <w:ilvl w:val="0"/>
          <w:numId w:val="1"/>
        </w:numPr>
        <w:tabs>
          <w:tab w:pos="1694" w:val="left" w:leader="none"/>
          <w:tab w:pos="1695" w:val="left" w:leader="none"/>
        </w:tabs>
        <w:spacing w:line="240" w:lineRule="auto" w:before="24" w:after="0"/>
        <w:ind w:left="1694" w:right="0" w:hanging="364"/>
        <w:jc w:val="left"/>
        <w:rPr>
          <w:color w:val="2D2F2F"/>
          <w:sz w:val="19"/>
        </w:rPr>
      </w:pPr>
      <w:r>
        <w:rPr>
          <w:color w:val="2D2F2F"/>
          <w:w w:val="105"/>
          <w:sz w:val="19"/>
        </w:rPr>
        <w:t>expected date/port of</w:t>
      </w:r>
      <w:r>
        <w:rPr>
          <w:color w:val="2D2F2F"/>
          <w:spacing w:val="26"/>
          <w:w w:val="105"/>
          <w:sz w:val="19"/>
        </w:rPr>
        <w:t> </w:t>
      </w:r>
      <w:r>
        <w:rPr>
          <w:color w:val="2D2F2F"/>
          <w:w w:val="105"/>
          <w:sz w:val="19"/>
        </w:rPr>
        <w:t>arrival</w:t>
      </w:r>
    </w:p>
    <w:p>
      <w:pPr>
        <w:pStyle w:val="ListParagraph"/>
        <w:numPr>
          <w:ilvl w:val="0"/>
          <w:numId w:val="1"/>
        </w:numPr>
        <w:tabs>
          <w:tab w:pos="1695" w:val="left" w:leader="none"/>
          <w:tab w:pos="1696" w:val="left" w:leader="none"/>
        </w:tabs>
        <w:spacing w:line="446" w:lineRule="auto" w:before="24" w:after="0"/>
        <w:ind w:left="966" w:right="4708" w:firstLine="365"/>
        <w:jc w:val="left"/>
        <w:rPr>
          <w:b/>
          <w:color w:val="2D2F2F"/>
          <w:sz w:val="19"/>
        </w:rPr>
      </w:pPr>
      <w:r>
        <w:rPr>
          <w:color w:val="2D2F2F"/>
          <w:w w:val="105"/>
          <w:sz w:val="19"/>
        </w:rPr>
        <w:t>details/description/quantity/country of origin of goods All </w:t>
      </w:r>
      <w:r>
        <w:rPr>
          <w:color w:val="444646"/>
          <w:w w:val="105"/>
          <w:sz w:val="19"/>
        </w:rPr>
        <w:t>information </w:t>
      </w:r>
      <w:r>
        <w:rPr>
          <w:color w:val="2D2F2F"/>
          <w:w w:val="105"/>
          <w:sz w:val="19"/>
        </w:rPr>
        <w:t>will be treated in a confidential manner. </w:t>
      </w:r>
      <w:r>
        <w:rPr>
          <w:rFonts w:ascii="Arial" w:hAnsi="Arial"/>
          <w:b/>
          <w:color w:val="2D2F2F"/>
          <w:w w:val="105"/>
          <w:sz w:val="19"/>
        </w:rPr>
        <w:t>Further</w:t>
      </w:r>
      <w:r>
        <w:rPr>
          <w:rFonts w:ascii="Arial" w:hAnsi="Arial"/>
          <w:b/>
          <w:color w:val="2D2F2F"/>
          <w:spacing w:val="10"/>
          <w:w w:val="105"/>
          <w:sz w:val="19"/>
        </w:rPr>
        <w:t> </w:t>
      </w:r>
      <w:r>
        <w:rPr>
          <w:rFonts w:ascii="Arial" w:hAnsi="Arial"/>
          <w:b/>
          <w:color w:val="2D2F2F"/>
          <w:w w:val="105"/>
          <w:sz w:val="19"/>
        </w:rPr>
        <w:t>Information</w:t>
      </w:r>
    </w:p>
    <w:p>
      <w:pPr>
        <w:pStyle w:val="BodyText"/>
        <w:spacing w:line="220" w:lineRule="auto" w:before="42"/>
        <w:ind w:left="967" w:right="200" w:hanging="3"/>
      </w:pPr>
      <w:r>
        <w:rPr>
          <w:color w:val="2D2F2F"/>
          <w:w w:val="105"/>
        </w:rPr>
        <w:t>Further information and copies of </w:t>
      </w:r>
      <w:r>
        <w:rPr>
          <w:color w:val="444646"/>
          <w:w w:val="105"/>
        </w:rPr>
        <w:t>relevant </w:t>
      </w:r>
      <w:r>
        <w:rPr>
          <w:color w:val="2D2F2F"/>
          <w:w w:val="105"/>
        </w:rPr>
        <w:t>forms relating to the </w:t>
      </w:r>
      <w:r>
        <w:rPr>
          <w:color w:val="444646"/>
          <w:w w:val="105"/>
        </w:rPr>
        <w:t>import </w:t>
      </w:r>
      <w:r>
        <w:rPr>
          <w:color w:val="2D2F2F"/>
          <w:w w:val="105"/>
        </w:rPr>
        <w:t>provisions of the Act may be obtained via the ACBPS website at </w:t>
      </w:r>
      <w:hyperlink r:id="rId7">
        <w:r>
          <w:rPr>
            <w:color w:val="2F4875"/>
            <w:w w:val="105"/>
            <w:u w:val="thick" w:color="444646"/>
          </w:rPr>
          <w:t>www.customs.gov.au</w:t>
        </w:r>
        <w:r>
          <w:rPr>
            <w:color w:val="444646"/>
            <w:w w:val="105"/>
          </w:rPr>
          <w:t>, </w:t>
        </w:r>
      </w:hyperlink>
      <w:r>
        <w:rPr>
          <w:color w:val="2D2F2F"/>
          <w:w w:val="105"/>
        </w:rPr>
        <w:t>or by contacting the Intellectual Property Rights team via </w:t>
      </w:r>
      <w:hyperlink r:id="rId8">
        <w:r>
          <w:rPr>
            <w:color w:val="2F4875"/>
            <w:w w:val="105"/>
            <w:u w:val="thick" w:color="2F4875"/>
          </w:rPr>
          <w:t>iprights@customs.gov.au</w:t>
        </w:r>
        <w:r>
          <w:rPr>
            <w:color w:val="2F4875"/>
            <w:w w:val="105"/>
          </w:rPr>
          <w:t> </w:t>
        </w:r>
      </w:hyperlink>
      <w:r>
        <w:rPr>
          <w:color w:val="2D2F2F"/>
          <w:w w:val="105"/>
        </w:rPr>
        <w:t>or (02) 6275 6445.</w:t>
      </w:r>
    </w:p>
    <w:p>
      <w:pPr>
        <w:pStyle w:val="BodyText"/>
        <w:spacing w:before="2"/>
        <w:rPr>
          <w:sz w:val="16"/>
        </w:rPr>
      </w:pPr>
    </w:p>
    <w:p>
      <w:pPr>
        <w:pStyle w:val="BodyText"/>
        <w:spacing w:line="225" w:lineRule="auto"/>
        <w:ind w:left="968" w:hanging="3"/>
      </w:pPr>
      <w:r>
        <w:rPr>
          <w:color w:val="2D2F2F"/>
          <w:w w:val="105"/>
        </w:rPr>
        <w:t>Designated owners may also wish to seek independent legal advice prior to importing any goods that may contravene the Act.</w:t>
      </w:r>
    </w:p>
    <w:p>
      <w:pPr>
        <w:pStyle w:val="BodyText"/>
        <w:rPr>
          <w:sz w:val="24"/>
        </w:rPr>
      </w:pPr>
      <w:r>
        <w:rPr/>
        <w:drawing>
          <wp:anchor distT="0" distB="0" distL="0" distR="0" allowOverlap="1" layoutInCell="1" locked="0" behindDoc="0" simplePos="0" relativeHeight="5">
            <wp:simplePos x="0" y="0"/>
            <wp:positionH relativeFrom="page">
              <wp:posOffset>512924</wp:posOffset>
            </wp:positionH>
            <wp:positionV relativeFrom="paragraph">
              <wp:posOffset>229334</wp:posOffset>
            </wp:positionV>
            <wp:extent cx="1546395" cy="649605"/>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1546395" cy="649605"/>
                    </a:xfrm>
                    <a:prstGeom prst="rect">
                      <a:avLst/>
                    </a:prstGeom>
                  </pic:spPr>
                </pic:pic>
              </a:graphicData>
            </a:graphic>
          </wp:anchor>
        </w:drawing>
      </w:r>
    </w:p>
    <w:p>
      <w:pPr>
        <w:pStyle w:val="BodyText"/>
        <w:spacing w:line="184" w:lineRule="exact"/>
        <w:ind w:left="966"/>
      </w:pPr>
      <w:r>
        <w:rPr>
          <w:color w:val="2D2F2F"/>
          <w:w w:val="105"/>
        </w:rPr>
        <w:t>Anita Langford</w:t>
      </w:r>
    </w:p>
    <w:p>
      <w:pPr>
        <w:pStyle w:val="BodyText"/>
        <w:spacing w:line="218" w:lineRule="auto" w:before="6"/>
        <w:ind w:left="966" w:right="8020"/>
      </w:pPr>
      <w:r>
        <w:rPr>
          <w:color w:val="2D2F2F"/>
          <w:w w:val="105"/>
        </w:rPr>
        <w:t>A/g Assistant Secretary Trade Branch CANBERRA ACT</w:t>
      </w:r>
    </w:p>
    <w:p>
      <w:pPr>
        <w:pStyle w:val="BodyText"/>
        <w:spacing w:before="104"/>
        <w:ind w:left="826"/>
      </w:pPr>
      <w:r>
        <w:rPr>
          <w:color w:val="444646"/>
          <w:w w:val="110"/>
        </w:rPr>
        <w:t>// </w:t>
      </w:r>
      <w:r>
        <w:rPr>
          <w:color w:val="2D2F2F"/>
          <w:w w:val="110"/>
        </w:rPr>
        <w:t>March2015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shape style="position:absolute;margin-left:440.419098pt;margin-top:9.91741pt;width:89.45pt;height:.1pt;mso-position-horizontal-relative:page;mso-position-vertical-relative:paragraph;z-index:-15725568;mso-wrap-distance-left:0;mso-wrap-distance-right:0" coordorigin="8808,198" coordsize="1789,0" path="m8808,198l10597,198e" filled="false" stroked="true" strokeweight=".240296pt" strokecolor="#000000">
            <v:path arrowok="t"/>
            <v:stroke dashstyle="solid"/>
            <w10:wrap type="topAndBottom"/>
          </v:shape>
        </w:pict>
      </w:r>
    </w:p>
    <w:sectPr>
      <w:pgSz w:w="11900" w:h="16840"/>
      <w:pgMar w:top="1220" w:bottom="0" w:left="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694" w:hanging="360"/>
        <w:jc w:val="left"/>
      </w:pPr>
      <w:rPr>
        <w:rFonts w:hint="default" w:ascii="Arial Unicode MS" w:hAnsi="Arial Unicode MS" w:eastAsia="Arial Unicode MS" w:cs="Arial Unicode MS"/>
        <w:color w:val="2D2F2F"/>
        <w:spacing w:val="-1"/>
        <w:w w:val="107"/>
        <w:sz w:val="19"/>
        <w:szCs w:val="19"/>
        <w:lang w:val="en-US" w:eastAsia="en-US" w:bidi="ar-SA"/>
      </w:rPr>
    </w:lvl>
    <w:lvl w:ilvl="1">
      <w:start w:val="0"/>
      <w:numFmt w:val="bullet"/>
      <w:lvlText w:val="•"/>
      <w:lvlJc w:val="left"/>
      <w:pPr>
        <w:ind w:left="263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514" w:hanging="360"/>
      </w:pPr>
      <w:rPr>
        <w:rFonts w:hint="default"/>
        <w:lang w:val="en-US" w:eastAsia="en-US" w:bidi="ar-SA"/>
      </w:rPr>
    </w:lvl>
    <w:lvl w:ilvl="4">
      <w:start w:val="0"/>
      <w:numFmt w:val="bullet"/>
      <w:lvlText w:val="•"/>
      <w:lvlJc w:val="left"/>
      <w:pPr>
        <w:ind w:left="5452"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28" w:hanging="360"/>
      </w:pPr>
      <w:rPr>
        <w:rFonts w:hint="default"/>
        <w:lang w:val="en-US" w:eastAsia="en-US" w:bidi="ar-SA"/>
      </w:rPr>
    </w:lvl>
    <w:lvl w:ilvl="7">
      <w:start w:val="0"/>
      <w:numFmt w:val="bullet"/>
      <w:lvlText w:val="•"/>
      <w:lvlJc w:val="left"/>
      <w:pPr>
        <w:ind w:left="8266" w:hanging="360"/>
      </w:pPr>
      <w:rPr>
        <w:rFonts w:hint="default"/>
        <w:lang w:val="en-US" w:eastAsia="en-US" w:bidi="ar-SA"/>
      </w:rPr>
    </w:lvl>
    <w:lvl w:ilvl="8">
      <w:start w:val="0"/>
      <w:numFmt w:val="bullet"/>
      <w:lvlText w:val="•"/>
      <w:lvlJc w:val="left"/>
      <w:pPr>
        <w:ind w:left="9204" w:hanging="360"/>
      </w:pPr>
      <w:rPr>
        <w:rFonts w:hint="default"/>
        <w:lang w:val="en-US" w:eastAsia="en-US" w:bidi="ar-SA"/>
      </w:rPr>
    </w:lvl>
  </w:abstractNum>
  <w:abstractNum w:abstractNumId="0">
    <w:multiLevelType w:val="hybridMultilevel"/>
    <w:lvl w:ilvl="0">
      <w:start w:val="0"/>
      <w:numFmt w:val="bullet"/>
      <w:lvlText w:val="•"/>
      <w:lvlJc w:val="left"/>
      <w:pPr>
        <w:ind w:left="966" w:hanging="365"/>
      </w:pPr>
      <w:rPr>
        <w:rFonts w:hint="default"/>
        <w:w w:val="104"/>
        <w:lang w:val="en-US" w:eastAsia="en-US" w:bidi="ar-SA"/>
      </w:rPr>
    </w:lvl>
    <w:lvl w:ilvl="1">
      <w:start w:val="0"/>
      <w:numFmt w:val="bullet"/>
      <w:lvlText w:val="•"/>
      <w:lvlJc w:val="left"/>
      <w:pPr>
        <w:ind w:left="1972" w:hanging="365"/>
      </w:pPr>
      <w:rPr>
        <w:rFonts w:hint="default"/>
        <w:lang w:val="en-US" w:eastAsia="en-US" w:bidi="ar-SA"/>
      </w:rPr>
    </w:lvl>
    <w:lvl w:ilvl="2">
      <w:start w:val="0"/>
      <w:numFmt w:val="bullet"/>
      <w:lvlText w:val="•"/>
      <w:lvlJc w:val="left"/>
      <w:pPr>
        <w:ind w:left="2984" w:hanging="365"/>
      </w:pPr>
      <w:rPr>
        <w:rFonts w:hint="default"/>
        <w:lang w:val="en-US" w:eastAsia="en-US" w:bidi="ar-SA"/>
      </w:rPr>
    </w:lvl>
    <w:lvl w:ilvl="3">
      <w:start w:val="0"/>
      <w:numFmt w:val="bullet"/>
      <w:lvlText w:val="•"/>
      <w:lvlJc w:val="left"/>
      <w:pPr>
        <w:ind w:left="3996" w:hanging="365"/>
      </w:pPr>
      <w:rPr>
        <w:rFonts w:hint="default"/>
        <w:lang w:val="en-US" w:eastAsia="en-US" w:bidi="ar-SA"/>
      </w:rPr>
    </w:lvl>
    <w:lvl w:ilvl="4">
      <w:start w:val="0"/>
      <w:numFmt w:val="bullet"/>
      <w:lvlText w:val="•"/>
      <w:lvlJc w:val="left"/>
      <w:pPr>
        <w:ind w:left="5008" w:hanging="365"/>
      </w:pPr>
      <w:rPr>
        <w:rFonts w:hint="default"/>
        <w:lang w:val="en-US" w:eastAsia="en-US" w:bidi="ar-SA"/>
      </w:rPr>
    </w:lvl>
    <w:lvl w:ilvl="5">
      <w:start w:val="0"/>
      <w:numFmt w:val="bullet"/>
      <w:lvlText w:val="•"/>
      <w:lvlJc w:val="left"/>
      <w:pPr>
        <w:ind w:left="6020" w:hanging="365"/>
      </w:pPr>
      <w:rPr>
        <w:rFonts w:hint="default"/>
        <w:lang w:val="en-US" w:eastAsia="en-US" w:bidi="ar-SA"/>
      </w:rPr>
    </w:lvl>
    <w:lvl w:ilvl="6">
      <w:start w:val="0"/>
      <w:numFmt w:val="bullet"/>
      <w:lvlText w:val="•"/>
      <w:lvlJc w:val="left"/>
      <w:pPr>
        <w:ind w:left="7032" w:hanging="365"/>
      </w:pPr>
      <w:rPr>
        <w:rFonts w:hint="default"/>
        <w:lang w:val="en-US" w:eastAsia="en-US" w:bidi="ar-SA"/>
      </w:rPr>
    </w:lvl>
    <w:lvl w:ilvl="7">
      <w:start w:val="0"/>
      <w:numFmt w:val="bullet"/>
      <w:lvlText w:val="•"/>
      <w:lvlJc w:val="left"/>
      <w:pPr>
        <w:ind w:left="8044" w:hanging="365"/>
      </w:pPr>
      <w:rPr>
        <w:rFonts w:hint="default"/>
        <w:lang w:val="en-US" w:eastAsia="en-US" w:bidi="ar-SA"/>
      </w:rPr>
    </w:lvl>
    <w:lvl w:ilvl="8">
      <w:start w:val="0"/>
      <w:numFmt w:val="bullet"/>
      <w:lvlText w:val="•"/>
      <w:lvlJc w:val="left"/>
      <w:pPr>
        <w:ind w:left="9056" w:hanging="36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lang w:val="en-US" w:eastAsia="en-US" w:bidi="ar-SA"/>
    </w:rPr>
  </w:style>
  <w:style w:styleId="BodyText" w:type="paragraph">
    <w:name w:val="Body Text"/>
    <w:basedOn w:val="Normal"/>
    <w:uiPriority w:val="1"/>
    <w:qFormat/>
    <w:pPr/>
    <w:rPr>
      <w:rFonts w:ascii="Arial Unicode MS" w:hAnsi="Arial Unicode MS" w:eastAsia="Arial Unicode MS" w:cs="Arial Unicode MS"/>
      <w:sz w:val="19"/>
      <w:szCs w:val="19"/>
      <w:lang w:val="en-US" w:eastAsia="en-US" w:bidi="ar-SA"/>
    </w:rPr>
  </w:style>
  <w:style w:styleId="Heading1" w:type="paragraph">
    <w:name w:val="Heading 1"/>
    <w:basedOn w:val="Normal"/>
    <w:uiPriority w:val="1"/>
    <w:qFormat/>
    <w:pPr>
      <w:ind w:left="966"/>
      <w:outlineLvl w:val="1"/>
    </w:pPr>
    <w:rPr>
      <w:rFonts w:ascii="Arial" w:hAnsi="Arial" w:eastAsia="Arial" w:cs="Arial"/>
      <w:b/>
      <w:bCs/>
      <w:sz w:val="19"/>
      <w:szCs w:val="19"/>
      <w:lang w:val="en-US" w:eastAsia="en-US" w:bidi="ar-SA"/>
    </w:rPr>
  </w:style>
  <w:style w:styleId="Title" w:type="paragraph">
    <w:name w:val="Title"/>
    <w:basedOn w:val="Normal"/>
    <w:uiPriority w:val="1"/>
    <w:qFormat/>
    <w:pPr>
      <w:ind w:left="961"/>
    </w:pPr>
    <w:rPr>
      <w:rFonts w:ascii="Arial" w:hAnsi="Arial" w:eastAsia="Arial" w:cs="Arial"/>
      <w:b/>
      <w:bCs/>
      <w:sz w:val="27"/>
      <w:szCs w:val="27"/>
      <w:lang w:val="en-US" w:eastAsia="en-US" w:bidi="ar-SA"/>
    </w:rPr>
  </w:style>
  <w:style w:styleId="ListParagraph" w:type="paragraph">
    <w:name w:val="List Paragraph"/>
    <w:basedOn w:val="Normal"/>
    <w:uiPriority w:val="1"/>
    <w:qFormat/>
    <w:pPr>
      <w:spacing w:before="19"/>
      <w:ind w:left="1694" w:hanging="363"/>
    </w:pPr>
    <w:rPr>
      <w:rFonts w:ascii="Arial Unicode MS" w:hAnsi="Arial Unicode MS" w:eastAsia="Arial Unicode MS" w:cs="Arial Unicode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customs.gov.au/" TargetMode="External"/><Relationship Id="rId8" Type="http://schemas.openxmlformats.org/officeDocument/2006/relationships/hyperlink" Target="mailto:iprights@customs.gov.au" TargetMode="External"/><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2020-12-09T23:05:08Z</dcterms:created>
  <dcterms:modified xsi:type="dcterms:W3CDTF">2020-12-09T23:05:08Z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2015-03-13T00:00:00Z</vt:filetime>
  </property>
  <property fmtid="{D5CDD505-2E9C-101B-9397-08002B2CF9AE}" pid="3" name="Creator">
    <vt:lpwstr>OmniPage CSDK 18</vt:lpwstr>
  </property>
  <property fmtid="{D5CDD505-2E9C-101B-9397-08002B2CF9AE}" pid="4" name="LastSaved">
    <vt:filetime>2020-12-09T00:00:00Z</vt:filetime>
  </property>
</Properties>
</file>