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ind w:right="1629"/>
      </w:pPr>
      <w:r>
        <w:rPr/>
        <w:t>AUSTRALIAN CUSTOMS AND BORDER PROTECTION NOTICE NO. 2015/11</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2212"/>
      </w:pPr>
      <w:r>
        <w:rPr/>
        <w:t>The following company and individuals have applied to the Chief Executive Officer of the Australian Customs and Border Protection Service for a customs broker licence.</w:t>
      </w:r>
    </w:p>
    <w:p>
      <w:pPr>
        <w:pStyle w:val="BodyText"/>
      </w:pPr>
    </w:p>
    <w:p>
      <w:pPr>
        <w:pStyle w:val="BodyText"/>
        <w:spacing w:before="4"/>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8"/>
      </w:tblGrid>
      <w:tr>
        <w:trPr>
          <w:trHeight w:val="1263" w:hRule="atLeast"/>
        </w:trPr>
        <w:tc>
          <w:tcPr>
            <w:tcW w:w="6088" w:type="dxa"/>
          </w:tcPr>
          <w:p>
            <w:pPr>
              <w:pStyle w:val="TableParagraph"/>
              <w:tabs>
                <w:tab w:pos="4054" w:val="left" w:leader="none"/>
              </w:tabs>
              <w:spacing w:line="223" w:lineRule="exact"/>
              <w:rPr>
                <w:b/>
                <w:sz w:val="20"/>
              </w:rPr>
            </w:pPr>
            <w:r>
              <w:rPr>
                <w:b/>
                <w:sz w:val="20"/>
              </w:rPr>
              <w:t>COMPANY</w:t>
              <w:tab/>
              <w:t>INDIVIDUALS</w:t>
            </w:r>
          </w:p>
          <w:p>
            <w:pPr>
              <w:pStyle w:val="TableParagraph"/>
              <w:tabs>
                <w:tab w:pos="4054" w:val="left" w:leader="none"/>
              </w:tabs>
              <w:spacing w:before="3"/>
              <w:ind w:right="197"/>
              <w:rPr>
                <w:sz w:val="20"/>
              </w:rPr>
            </w:pPr>
            <w:r>
              <w:rPr>
                <w:sz w:val="20"/>
              </w:rPr>
              <w:t>FYN Logistics Australia</w:t>
            </w:r>
            <w:r>
              <w:rPr>
                <w:spacing w:val="-5"/>
                <w:sz w:val="20"/>
              </w:rPr>
              <w:t> </w:t>
            </w:r>
            <w:r>
              <w:rPr>
                <w:sz w:val="20"/>
              </w:rPr>
              <w:t>Pty</w:t>
            </w:r>
            <w:r>
              <w:rPr>
                <w:spacing w:val="-4"/>
                <w:sz w:val="20"/>
              </w:rPr>
              <w:t> </w:t>
            </w:r>
            <w:r>
              <w:rPr>
                <w:sz w:val="20"/>
              </w:rPr>
              <w:t>Ltd</w:t>
              <w:tab/>
              <w:t>JOVANOVIC, Daniel ABN 31 131</w:t>
            </w:r>
            <w:r>
              <w:rPr>
                <w:spacing w:val="-1"/>
                <w:sz w:val="20"/>
              </w:rPr>
              <w:t> </w:t>
            </w:r>
            <w:r>
              <w:rPr>
                <w:sz w:val="20"/>
              </w:rPr>
              <w:t>816</w:t>
            </w:r>
            <w:r>
              <w:rPr>
                <w:spacing w:val="-2"/>
                <w:sz w:val="20"/>
              </w:rPr>
              <w:t> </w:t>
            </w:r>
            <w:r>
              <w:rPr>
                <w:sz w:val="20"/>
              </w:rPr>
              <w:t>496</w:t>
              <w:tab/>
              <w:t>MCNAMARA,</w:t>
            </w:r>
            <w:r>
              <w:rPr>
                <w:spacing w:val="1"/>
                <w:sz w:val="20"/>
              </w:rPr>
              <w:t> </w:t>
            </w:r>
            <w:r>
              <w:rPr>
                <w:spacing w:val="-3"/>
                <w:sz w:val="20"/>
              </w:rPr>
              <w:t>Kahlia</w:t>
            </w:r>
          </w:p>
          <w:p>
            <w:pPr>
              <w:pStyle w:val="TableParagraph"/>
              <w:tabs>
                <w:tab w:pos="4055" w:val="left" w:leader="none"/>
              </w:tabs>
              <w:rPr>
                <w:sz w:val="20"/>
              </w:rPr>
            </w:pPr>
            <w:r>
              <w:rPr>
                <w:sz w:val="20"/>
              </w:rPr>
              <w:t>Suite 10, 578 – 580</w:t>
            </w:r>
            <w:r>
              <w:rPr>
                <w:spacing w:val="-5"/>
                <w:sz w:val="20"/>
              </w:rPr>
              <w:t> </w:t>
            </w:r>
            <w:r>
              <w:rPr>
                <w:sz w:val="20"/>
              </w:rPr>
              <w:t>Railway</w:t>
            </w:r>
            <w:r>
              <w:rPr>
                <w:spacing w:val="-2"/>
                <w:sz w:val="20"/>
              </w:rPr>
              <w:t> </w:t>
            </w:r>
            <w:r>
              <w:rPr>
                <w:sz w:val="20"/>
              </w:rPr>
              <w:t>Parade</w:t>
              <w:tab/>
              <w:t>STEPHENS,</w:t>
            </w:r>
            <w:r>
              <w:rPr>
                <w:spacing w:val="-2"/>
                <w:sz w:val="20"/>
              </w:rPr>
              <w:t> </w:t>
            </w:r>
            <w:r>
              <w:rPr>
                <w:sz w:val="20"/>
              </w:rPr>
              <w:t>Mona</w:t>
            </w:r>
          </w:p>
          <w:p>
            <w:pPr>
              <w:pStyle w:val="TableParagraph"/>
              <w:spacing w:before="1"/>
              <w:rPr>
                <w:sz w:val="20"/>
              </w:rPr>
            </w:pPr>
            <w:r>
              <w:rPr>
                <w:sz w:val="20"/>
              </w:rPr>
              <w:t>HURSTVILLE NSW 2220</w:t>
            </w:r>
          </w:p>
        </w:tc>
      </w:tr>
      <w:tr>
        <w:trPr>
          <w:trHeight w:val="1493" w:hRule="atLeast"/>
        </w:trPr>
        <w:tc>
          <w:tcPr>
            <w:tcW w:w="6088" w:type="dxa"/>
          </w:tcPr>
          <w:p>
            <w:pPr>
              <w:pStyle w:val="TableParagraph"/>
              <w:spacing w:before="109"/>
              <w:rPr>
                <w:b/>
                <w:sz w:val="20"/>
              </w:rPr>
            </w:pPr>
            <w:r>
              <w:rPr>
                <w:b/>
                <w:sz w:val="20"/>
              </w:rPr>
              <w:t>Person in Authority</w:t>
            </w:r>
          </w:p>
          <w:p>
            <w:pPr>
              <w:pStyle w:val="TableParagraph"/>
              <w:spacing w:before="3"/>
              <w:ind w:right="4440"/>
              <w:rPr>
                <w:sz w:val="20"/>
              </w:rPr>
            </w:pPr>
            <w:r>
              <w:rPr>
                <w:sz w:val="20"/>
              </w:rPr>
              <w:t>FAN, Yanning LI, Liang</w:t>
            </w:r>
          </w:p>
          <w:p>
            <w:pPr>
              <w:pStyle w:val="TableParagraph"/>
              <w:spacing w:before="10"/>
              <w:ind w:left="0"/>
              <w:rPr>
                <w:sz w:val="19"/>
              </w:rPr>
            </w:pPr>
          </w:p>
          <w:p>
            <w:pPr>
              <w:pStyle w:val="TableParagraph"/>
              <w:rPr>
                <w:b/>
                <w:sz w:val="20"/>
              </w:rPr>
            </w:pPr>
            <w:r>
              <w:rPr>
                <w:b/>
                <w:sz w:val="20"/>
              </w:rPr>
              <w:t>Nominee broker</w:t>
            </w:r>
          </w:p>
          <w:p>
            <w:pPr>
              <w:pStyle w:val="TableParagraph"/>
              <w:spacing w:line="210" w:lineRule="exact" w:before="3"/>
              <w:rPr>
                <w:sz w:val="20"/>
              </w:rPr>
            </w:pPr>
            <w:r>
              <w:rPr>
                <w:sz w:val="20"/>
              </w:rPr>
              <w:t>FAN, Yanning</w:t>
            </w:r>
          </w:p>
        </w:tc>
      </w:tr>
    </w:tbl>
    <w:p>
      <w:pPr>
        <w:pStyle w:val="BodyText"/>
      </w:pPr>
    </w:p>
    <w:p>
      <w:pPr>
        <w:pStyle w:val="BodyText"/>
        <w:spacing w:before="10"/>
        <w:rPr>
          <w:sz w:val="19"/>
        </w:rPr>
      </w:pPr>
    </w:p>
    <w:p>
      <w:pPr>
        <w:pStyle w:val="BodyText"/>
        <w:ind w:left="1522" w:right="2145"/>
      </w:pPr>
      <w:r>
        <w:rPr/>
        <w:t>Any person wishing to make written representation in respect of any of these applications should address the correspondence by Tuesday 24 March 2015 to:</w:t>
      </w:r>
    </w:p>
    <w:p>
      <w:pPr>
        <w:pStyle w:val="BodyText"/>
        <w:spacing w:before="7"/>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0"/>
        <w:gridCol w:w="4953"/>
      </w:tblGrid>
      <w:tr>
        <w:trPr>
          <w:trHeight w:val="1144" w:hRule="atLeast"/>
        </w:trPr>
        <w:tc>
          <w:tcPr>
            <w:tcW w:w="3760" w:type="dxa"/>
          </w:tcPr>
          <w:p>
            <w:pPr>
              <w:pStyle w:val="TableParagraph"/>
              <w:spacing w:line="223" w:lineRule="exact"/>
              <w:rPr>
                <w:sz w:val="20"/>
              </w:rPr>
            </w:pPr>
            <w:r>
              <w:rPr>
                <w:sz w:val="20"/>
              </w:rPr>
              <w:t>Broker Licensing</w:t>
            </w:r>
          </w:p>
          <w:p>
            <w:pPr>
              <w:pStyle w:val="TableParagraph"/>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rPr>
                <w:sz w:val="20"/>
              </w:rPr>
            </w:pPr>
            <w:r>
              <w:rPr>
                <w:sz w:val="20"/>
              </w:rPr>
              <w:t>CANBERRA ACT 2601</w:t>
            </w:r>
          </w:p>
        </w:tc>
        <w:tc>
          <w:tcPr>
            <w:tcW w:w="4953" w:type="dxa"/>
          </w:tcPr>
          <w:p>
            <w:pPr>
              <w:pStyle w:val="TableParagraph"/>
              <w:ind w:left="0"/>
              <w:rPr>
                <w:sz w:val="20"/>
              </w:rPr>
            </w:pPr>
          </w:p>
          <w:p>
            <w:pPr>
              <w:pStyle w:val="TableParagraph"/>
              <w:ind w:left="784"/>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22" w:right="172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9"/>
      </w:pPr>
    </w:p>
    <w:p>
      <w:pPr>
        <w:pStyle w:val="BodyText"/>
        <w:ind w:left="1522"/>
      </w:pPr>
      <w:r>
        <w:rPr/>
        <w:t>[Signed]</w:t>
      </w:r>
    </w:p>
    <w:p>
      <w:pPr>
        <w:pStyle w:val="BodyText"/>
        <w:rPr>
          <w:sz w:val="22"/>
        </w:rPr>
      </w:pPr>
    </w:p>
    <w:p>
      <w:pPr>
        <w:pStyle w:val="BodyText"/>
        <w:spacing w:before="4"/>
        <w:rPr>
          <w:sz w:val="32"/>
        </w:rPr>
      </w:pPr>
    </w:p>
    <w:p>
      <w:pPr>
        <w:pStyle w:val="BodyText"/>
        <w:ind w:left="1522" w:right="8277"/>
      </w:pPr>
      <w:r>
        <w:rPr/>
        <w:t>John </w:t>
      </w:r>
      <w:r>
        <w:rPr>
          <w:spacing w:val="-3"/>
        </w:rPr>
        <w:t>Arndell </w:t>
      </w:r>
      <w:r>
        <w:rPr/>
        <w:t>Director</w:t>
      </w:r>
    </w:p>
    <w:p>
      <w:pPr>
        <w:pStyle w:val="BodyText"/>
        <w:spacing w:before="1"/>
        <w:ind w:left="1522" w:right="6315"/>
      </w:pPr>
      <w:r>
        <w:rPr/>
        <w:t>Border Control and Clearance Framework CANBERRA ACT</w:t>
      </w:r>
    </w:p>
    <w:p>
      <w:pPr>
        <w:pStyle w:val="BodyText"/>
        <w:spacing w:before="1"/>
        <w:ind w:left="1522"/>
      </w:pPr>
      <w:r>
        <w:rPr/>
        <w:t>11 March 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2020-12-09T22:38:04Z</dcterms:created>
  <dcterms:modified xsi:type="dcterms:W3CDTF">2020-12-09T22:38:04Z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LastSaved">
    <vt:filetime>2020-12-09T00:00:00Z</vt:filetime>
  </property>
</Properties>
</file>