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81825" cy="1085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ind w:left="0"/>
        <w:rPr>
          <w:rFonts w:ascii="Times New Roman"/>
          <w:sz w:val="9"/>
        </w:rPr>
      </w:pPr>
    </w:p>
    <w:p>
      <w:pPr>
        <w:pStyle w:val="Heading1"/>
        <w:ind w:right="1644"/>
      </w:pPr>
      <w:r>
        <w:rPr/>
        <w:t>AUSTRALIAN CUSTOMS AND BORDER PROTECTION NOTICE NO.</w:t>
      </w:r>
    </w:p>
    <w:p>
      <w:pPr>
        <w:spacing w:line="298" w:lineRule="exact" w:before="0"/>
        <w:ind w:left="1623" w:right="1643" w:firstLine="0"/>
        <w:jc w:val="center"/>
        <w:rPr>
          <w:b/>
          <w:sz w:val="26"/>
        </w:rPr>
      </w:pPr>
      <w:r>
        <w:rPr/>
        <w:pict>
          <v:rect style="position:absolute;margin-left:83.664001pt;margin-top:16.119505pt;width:428.11pt;height:.71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6"/>
        </w:rPr>
        <w:t>2015/12</w:t>
      </w:r>
    </w:p>
    <w:p>
      <w:pPr>
        <w:pStyle w:val="BodyText"/>
        <w:spacing w:before="7"/>
        <w:ind w:left="0"/>
        <w:rPr>
          <w:b/>
          <w:sz w:val="13"/>
        </w:rPr>
      </w:pPr>
    </w:p>
    <w:p>
      <w:pPr>
        <w:pStyle w:val="Heading1"/>
        <w:spacing w:line="240" w:lineRule="auto"/>
        <w:ind w:left="4335" w:right="1864" w:hanging="2480"/>
        <w:jc w:val="left"/>
      </w:pPr>
      <w:r>
        <w:rPr/>
        <w:t>Duty Rate Changes for 1 April 2015 - Japan-Australia Economic Partnership Agreement</w:t>
      </w:r>
    </w:p>
    <w:p>
      <w:pPr>
        <w:pStyle w:val="BodyText"/>
        <w:spacing w:before="210"/>
        <w:ind w:left="1522" w:right="1859"/>
      </w:pPr>
      <w:r>
        <w:rPr/>
        <w:t>Schedule 11 (Japanese Originating Goods) of the </w:t>
      </w:r>
      <w:r>
        <w:rPr>
          <w:i/>
        </w:rPr>
        <w:t>Customs Tariff Act 1995 </w:t>
      </w:r>
      <w:r>
        <w:rPr/>
        <w:t>specifies phasing rates of duty for the following goods: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70" w:lineRule="exact" w:before="198" w:after="0"/>
        <w:ind w:left="2242" w:right="0" w:hanging="360"/>
        <w:jc w:val="left"/>
        <w:rPr>
          <w:sz w:val="22"/>
        </w:rPr>
      </w:pPr>
      <w:r>
        <w:rPr>
          <w:sz w:val="22"/>
        </w:rPr>
        <w:t>certain plastic and rubber</w:t>
      </w:r>
      <w:r>
        <w:rPr>
          <w:spacing w:val="-2"/>
          <w:sz w:val="22"/>
        </w:rPr>
        <w:t> </w:t>
      </w:r>
      <w:r>
        <w:rPr>
          <w:sz w:val="22"/>
        </w:rPr>
        <w:t>goods;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8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certain leather</w:t>
      </w:r>
      <w:r>
        <w:rPr>
          <w:spacing w:val="-3"/>
          <w:sz w:val="22"/>
        </w:rPr>
        <w:t> </w:t>
      </w:r>
      <w:r>
        <w:rPr>
          <w:sz w:val="22"/>
        </w:rPr>
        <w:t>goods;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8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certain textile, clothing and footwear</w:t>
      </w:r>
      <w:r>
        <w:rPr>
          <w:spacing w:val="-1"/>
          <w:sz w:val="22"/>
        </w:rPr>
        <w:t> </w:t>
      </w:r>
      <w:r>
        <w:rPr>
          <w:sz w:val="22"/>
        </w:rPr>
        <w:t>goods;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3" w:lineRule="auto" w:before="11" w:after="0"/>
        <w:ind w:left="2242" w:right="1909" w:hanging="360"/>
        <w:jc w:val="left"/>
        <w:rPr>
          <w:sz w:val="22"/>
        </w:rPr>
      </w:pPr>
      <w:r>
        <w:rPr>
          <w:sz w:val="22"/>
        </w:rPr>
        <w:t>certain stone, plaster, cement, asbestos, mica or similar materials for use as components in passenger motor vehicles;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3" w:lineRule="auto" w:before="32" w:after="0"/>
        <w:ind w:left="2242" w:right="1802" w:hanging="360"/>
        <w:jc w:val="left"/>
        <w:rPr>
          <w:sz w:val="22"/>
        </w:rPr>
      </w:pPr>
      <w:r>
        <w:rPr>
          <w:sz w:val="22"/>
        </w:rPr>
        <w:t>certain toughened (tempered) safety glass and laminated safety glass for use as components in passenger motor</w:t>
      </w:r>
      <w:r>
        <w:rPr>
          <w:spacing w:val="-2"/>
          <w:sz w:val="22"/>
        </w:rPr>
        <w:t> </w:t>
      </w:r>
      <w:r>
        <w:rPr>
          <w:sz w:val="22"/>
        </w:rPr>
        <w:t>vehicles;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9" w:lineRule="exact" w:before="18" w:after="0"/>
        <w:ind w:left="2242" w:right="0" w:hanging="360"/>
        <w:jc w:val="left"/>
        <w:rPr>
          <w:sz w:val="22"/>
        </w:rPr>
      </w:pPr>
      <w:r>
        <w:rPr>
          <w:sz w:val="22"/>
        </w:rPr>
        <w:t>certain base metal</w:t>
      </w:r>
      <w:r>
        <w:rPr>
          <w:spacing w:val="-5"/>
          <w:sz w:val="22"/>
        </w:rPr>
        <w:t> </w:t>
      </w:r>
      <w:r>
        <w:rPr>
          <w:sz w:val="22"/>
        </w:rPr>
        <w:t>goods;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3" w:lineRule="auto" w:before="10" w:after="0"/>
        <w:ind w:left="2242" w:right="2067" w:hanging="360"/>
        <w:jc w:val="left"/>
        <w:rPr>
          <w:sz w:val="22"/>
        </w:rPr>
      </w:pPr>
      <w:r>
        <w:rPr>
          <w:sz w:val="22"/>
        </w:rPr>
        <w:t>certain machinery and mechanical appliances; electrical equipment; sound recorders and</w:t>
      </w:r>
      <w:r>
        <w:rPr>
          <w:spacing w:val="-2"/>
          <w:sz w:val="22"/>
        </w:rPr>
        <w:t> </w:t>
      </w:r>
      <w:r>
        <w:rPr>
          <w:sz w:val="22"/>
        </w:rPr>
        <w:t>reproducers;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70" w:lineRule="exact" w:before="18" w:after="0"/>
        <w:ind w:left="2242" w:right="0" w:hanging="360"/>
        <w:jc w:val="left"/>
        <w:rPr>
          <w:sz w:val="22"/>
        </w:rPr>
      </w:pPr>
      <w:r>
        <w:rPr>
          <w:sz w:val="22"/>
        </w:rPr>
        <w:t>certain motor</w:t>
      </w:r>
      <w:r>
        <w:rPr>
          <w:spacing w:val="-4"/>
          <w:sz w:val="22"/>
        </w:rPr>
        <w:t> </w:t>
      </w:r>
      <w:r>
        <w:rPr>
          <w:sz w:val="22"/>
        </w:rPr>
        <w:t>vehicles;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9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certain orthopaedic footwear</w:t>
      </w:r>
      <w:r>
        <w:rPr>
          <w:spacing w:val="-4"/>
          <w:sz w:val="22"/>
        </w:rPr>
        <w:t> </w:t>
      </w:r>
      <w:r>
        <w:rPr>
          <w:sz w:val="22"/>
        </w:rPr>
        <w:t>goods;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8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certain measuring, checking or precision instruments and</w:t>
      </w:r>
      <w:r>
        <w:rPr>
          <w:spacing w:val="-1"/>
          <w:sz w:val="22"/>
        </w:rPr>
        <w:t> </w:t>
      </w:r>
      <w:r>
        <w:rPr>
          <w:sz w:val="22"/>
        </w:rPr>
        <w:t>apparatus;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68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seats for motor vehicles and their parts;</w:t>
      </w:r>
      <w:r>
        <w:rPr>
          <w:spacing w:val="-10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71" w:lineRule="exact" w:before="0" w:after="0"/>
        <w:ind w:left="2242" w:right="0" w:hanging="360"/>
        <w:jc w:val="left"/>
        <w:rPr>
          <w:sz w:val="22"/>
        </w:rPr>
      </w:pPr>
      <w:r>
        <w:rPr>
          <w:sz w:val="22"/>
        </w:rPr>
        <w:t>certain miscellaneous manufactured</w:t>
      </w:r>
      <w:r>
        <w:rPr>
          <w:spacing w:val="-8"/>
          <w:sz w:val="22"/>
        </w:rPr>
        <w:t> </w:t>
      </w:r>
      <w:r>
        <w:rPr>
          <w:sz w:val="22"/>
        </w:rPr>
        <w:t>goods.</w:t>
      </w:r>
    </w:p>
    <w:p>
      <w:pPr>
        <w:spacing w:before="189"/>
        <w:ind w:left="1522" w:right="1895" w:firstLine="0"/>
        <w:jc w:val="left"/>
        <w:rPr>
          <w:sz w:val="22"/>
        </w:rPr>
      </w:pPr>
      <w:r>
        <w:rPr>
          <w:sz w:val="22"/>
        </w:rPr>
        <w:t>Note: The importation of asbestos or goods containing asbestos into Australia is prohibited under the </w:t>
      </w:r>
      <w:r>
        <w:rPr>
          <w:i/>
          <w:sz w:val="22"/>
        </w:rPr>
        <w:t>Customs (Prohibited Imports) Regulations 1956</w:t>
      </w:r>
      <w:r>
        <w:rPr>
          <w:sz w:val="22"/>
        </w:rPr>
        <w:t>, unless certain permissions or exemptions apply.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  <w:ind w:left="1522" w:right="1540"/>
      </w:pPr>
      <w:r>
        <w:rPr/>
        <w:t>These phasing rates of duty apply to goods entered for home consumption on and after 1 April 2015. Refer to webpage: </w:t>
      </w:r>
      <w:hyperlink r:id="rId6">
        <w:r>
          <w:rPr>
            <w:color w:val="0000FF"/>
            <w:u w:val="single" w:color="0000FF"/>
          </w:rPr>
          <w:t>http://www.customs.gov.au/webdata/resources/files/Schedule11.pdf</w:t>
        </w:r>
      </w:hyperlink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4"/>
        <w:ind w:left="1522"/>
      </w:pPr>
      <w:r>
        <w:rPr>
          <w:u w:val="single"/>
        </w:rPr>
        <w:t>Enquiries</w:t>
      </w:r>
    </w:p>
    <w:p>
      <w:pPr>
        <w:pStyle w:val="BodyText"/>
        <w:spacing w:line="252" w:lineRule="exact" w:before="208"/>
        <w:ind w:left="1522"/>
      </w:pPr>
      <w:r>
        <w:rPr/>
        <w:t>Manager Trade Policy and Negotiation</w:t>
      </w:r>
    </w:p>
    <w:p>
      <w:pPr>
        <w:pStyle w:val="BodyText"/>
        <w:ind w:left="1522" w:right="5124"/>
      </w:pPr>
      <w:r>
        <w:rPr/>
        <w:t>Australian Customs and Border Protection Service Ph: (02) 6275 6095</w:t>
      </w:r>
    </w:p>
    <w:p>
      <w:pPr>
        <w:pStyle w:val="BodyText"/>
        <w:ind w:left="1522"/>
      </w:pPr>
      <w:r>
        <w:rPr/>
        <w:t>Email: </w:t>
      </w:r>
      <w:hyperlink r:id="rId7">
        <w:r>
          <w:rPr>
            <w:color w:val="0000FF"/>
            <w:u w:val="single" w:color="0000FF"/>
          </w:rPr>
          <w:t>tariff@customs.gov.au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94"/>
        <w:ind w:left="1522"/>
      </w:pPr>
      <w:r>
        <w:rPr/>
        <w:t>(signed)</w:t>
      </w:r>
    </w:p>
    <w:p>
      <w:pPr>
        <w:pStyle w:val="BodyText"/>
        <w:spacing w:line="252" w:lineRule="exact" w:before="2"/>
        <w:ind w:left="1522"/>
      </w:pPr>
      <w:r>
        <w:rPr/>
        <w:t>Anita Langford</w:t>
      </w:r>
    </w:p>
    <w:p>
      <w:pPr>
        <w:pStyle w:val="BodyText"/>
        <w:ind w:left="1522" w:right="7741"/>
      </w:pPr>
      <w:r>
        <w:rPr/>
        <w:t>A/g Assistant Secretary Trade Branch</w:t>
      </w:r>
    </w:p>
    <w:p>
      <w:pPr>
        <w:pStyle w:val="BodyText"/>
        <w:ind w:left="1522"/>
      </w:pPr>
      <w:r>
        <w:rPr/>
        <w:t>19 March 2015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42" w:hanging="360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172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4105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5037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70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35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8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701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>
      <w:ind w:left="2242"/>
    </w:pPr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91" w:line="298" w:lineRule="exact"/>
      <w:ind w:left="1623" w:right="1643"/>
      <w:jc w:val="center"/>
      <w:outlineLvl w:val="1"/>
    </w:pPr>
    <w:rPr>
      <w:rFonts w:ascii="Arial" w:hAnsi="Arial" w:eastAsia="Arial" w:cs="Arial"/>
      <w:b/>
      <w:bCs/>
      <w:sz w:val="26"/>
      <w:szCs w:val="26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2242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webdata/resources/files/Schedule11.pdf" TargetMode="External"/><Relationship Id="rId7" Type="http://schemas.openxmlformats.org/officeDocument/2006/relationships/hyperlink" Target="mailto:tariff@customs.gov.a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duty rate, Japan-Australia economic partnership agreement, tariff</cp:keywords>
  <dc:subject>Duty rate changes</dc:subject>
  <dc:title>Duty rate changes for 1 April 2015 - Japan-Australia Economic Partnership Agreement</dc:title>
  <dcterms:created xsi:type="dcterms:W3CDTF">2020-12-09T22:42:48Z</dcterms:created>
  <dcterms:modified xsi:type="dcterms:W3CDTF">2020-12-09T22:42:48Z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LastSaved">
    <vt:filetime>2020-12-09T00:00:00Z</vt:filetime>
  </property>
</Properties>
</file>