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23532" cy="104660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3532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before="107"/>
        <w:ind w:left="1377" w:right="1548" w:firstLine="0"/>
        <w:jc w:val="center"/>
        <w:rPr>
          <w:rFonts w:ascii="Helvetica"/>
          <w:b/>
          <w:sz w:val="26"/>
        </w:rPr>
      </w:pPr>
      <w:r>
        <w:rPr>
          <w:rFonts w:ascii="Helvetica"/>
          <w:b/>
          <w:sz w:val="26"/>
        </w:rPr>
        <w:t>DEPARTMENT OF IMMIGRATION AND BORDER PROTECTION NOTICE</w:t>
      </w:r>
    </w:p>
    <w:p>
      <w:pPr>
        <w:spacing w:before="180"/>
        <w:ind w:left="1377" w:right="1124" w:firstLine="0"/>
        <w:jc w:val="center"/>
        <w:rPr>
          <w:rFonts w:ascii="Helvetica"/>
          <w:b/>
          <w:sz w:val="26"/>
        </w:rPr>
      </w:pPr>
      <w:r>
        <w:rPr/>
        <w:pict>
          <v:rect style="position:absolute;margin-left:78.479515pt;margin-top:28.078875pt;width:475.679989pt;height:.47952pt;mso-position-horizontal-relative:page;mso-position-vertical-relative:paragraph;z-index:-15728640;mso-wrap-distance-left:0;mso-wrap-distance-right:0" filled="true" fillcolor="#4e81bd" stroked="false">
            <v:fill type="solid"/>
            <w10:wrap type="topAndBottom"/>
          </v:rect>
        </w:pict>
      </w:r>
      <w:r>
        <w:rPr>
          <w:rFonts w:ascii="Helvetica"/>
          <w:b/>
          <w:sz w:val="26"/>
        </w:rPr>
        <w:t>No.2015/28</w:t>
      </w:r>
    </w:p>
    <w:p>
      <w:pPr>
        <w:pStyle w:val="BodyText"/>
        <w:spacing w:before="10"/>
        <w:rPr>
          <w:rFonts w:ascii="Helvetica"/>
          <w:b/>
          <w:sz w:val="19"/>
        </w:rPr>
      </w:pPr>
    </w:p>
    <w:p>
      <w:pPr>
        <w:pStyle w:val="Title"/>
      </w:pPr>
      <w:r>
        <w:rPr/>
        <w:t>Increase to Commonwealth penalty unit value from $170 to $180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4"/>
        </w:rPr>
      </w:pPr>
    </w:p>
    <w:p>
      <w:pPr>
        <w:pStyle w:val="BodyText"/>
        <w:spacing w:line="261" w:lineRule="auto"/>
        <w:ind w:left="855" w:right="1115"/>
      </w:pPr>
      <w:r>
        <w:rPr/>
        <w:t>On</w:t>
      </w:r>
      <w:r>
        <w:rPr>
          <w:spacing w:val="-37"/>
        </w:rPr>
        <w:t> </w:t>
      </w:r>
      <w:r>
        <w:rPr/>
        <w:t>31</w:t>
      </w:r>
      <w:r>
        <w:rPr>
          <w:spacing w:val="-37"/>
        </w:rPr>
        <w:t> </w:t>
      </w:r>
      <w:r>
        <w:rPr/>
        <w:t>July</w:t>
      </w:r>
      <w:r>
        <w:rPr>
          <w:spacing w:val="-35"/>
        </w:rPr>
        <w:t> </w:t>
      </w:r>
      <w:r>
        <w:rPr/>
        <w:t>2015,</w:t>
      </w:r>
      <w:r>
        <w:rPr>
          <w:spacing w:val="-37"/>
        </w:rPr>
        <w:t> </w:t>
      </w:r>
      <w:r>
        <w:rPr/>
        <w:t>the</w:t>
      </w:r>
      <w:r>
        <w:rPr>
          <w:spacing w:val="-34"/>
        </w:rPr>
        <w:t> </w:t>
      </w:r>
      <w:r>
        <w:rPr/>
        <w:t>value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a</w:t>
      </w:r>
      <w:r>
        <w:rPr>
          <w:spacing w:val="-37"/>
        </w:rPr>
        <w:t> </w:t>
      </w:r>
      <w:r>
        <w:rPr/>
        <w:t>Commonwealth</w:t>
      </w:r>
      <w:r>
        <w:rPr>
          <w:spacing w:val="-35"/>
        </w:rPr>
        <w:t> </w:t>
      </w:r>
      <w:r>
        <w:rPr/>
        <w:t>penalty</w:t>
      </w:r>
      <w:r>
        <w:rPr>
          <w:spacing w:val="-36"/>
        </w:rPr>
        <w:t> </w:t>
      </w:r>
      <w:r>
        <w:rPr/>
        <w:t>unit</w:t>
      </w:r>
      <w:r>
        <w:rPr>
          <w:spacing w:val="-35"/>
        </w:rPr>
        <w:t> </w:t>
      </w:r>
      <w:r>
        <w:rPr/>
        <w:t>increased</w:t>
      </w:r>
      <w:r>
        <w:rPr>
          <w:spacing w:val="-38"/>
        </w:rPr>
        <w:t> </w:t>
      </w:r>
      <w:r>
        <w:rPr/>
        <w:t>from</w:t>
      </w:r>
      <w:r>
        <w:rPr>
          <w:spacing w:val="-36"/>
        </w:rPr>
        <w:t> </w:t>
      </w:r>
      <w:r>
        <w:rPr/>
        <w:t>$170</w:t>
      </w:r>
      <w:r>
        <w:rPr>
          <w:spacing w:val="-37"/>
        </w:rPr>
        <w:t> </w:t>
      </w:r>
      <w:r>
        <w:rPr/>
        <w:t>to</w:t>
      </w:r>
      <w:r>
        <w:rPr>
          <w:spacing w:val="-35"/>
        </w:rPr>
        <w:t> </w:t>
      </w:r>
      <w:r>
        <w:rPr/>
        <w:t>$180.</w:t>
      </w:r>
      <w:r>
        <w:rPr>
          <w:spacing w:val="-37"/>
        </w:rPr>
        <w:t> </w:t>
      </w:r>
      <w:r>
        <w:rPr/>
        <w:t>This</w:t>
      </w:r>
      <w:r>
        <w:rPr>
          <w:spacing w:val="-36"/>
        </w:rPr>
        <w:t> </w:t>
      </w:r>
      <w:r>
        <w:rPr/>
        <w:t>means</w:t>
      </w:r>
      <w:r>
        <w:rPr>
          <w:spacing w:val="-37"/>
        </w:rPr>
        <w:t> </w:t>
      </w:r>
      <w:r>
        <w:rPr/>
        <w:t>that the</w:t>
      </w:r>
      <w:r>
        <w:rPr>
          <w:spacing w:val="-39"/>
        </w:rPr>
        <w:t> </w:t>
      </w:r>
      <w:r>
        <w:rPr/>
        <w:t>maximum</w:t>
      </w:r>
      <w:r>
        <w:rPr>
          <w:spacing w:val="-38"/>
        </w:rPr>
        <w:t> </w:t>
      </w:r>
      <w:r>
        <w:rPr/>
        <w:t>financial</w:t>
      </w:r>
      <w:r>
        <w:rPr>
          <w:spacing w:val="-40"/>
        </w:rPr>
        <w:t> </w:t>
      </w:r>
      <w:r>
        <w:rPr/>
        <w:t>penalties</w:t>
      </w:r>
      <w:r>
        <w:rPr>
          <w:spacing w:val="-39"/>
        </w:rPr>
        <w:t> </w:t>
      </w:r>
      <w:r>
        <w:rPr/>
        <w:t>for</w:t>
      </w:r>
      <w:r>
        <w:rPr>
          <w:spacing w:val="-38"/>
        </w:rPr>
        <w:t> </w:t>
      </w:r>
      <w:r>
        <w:rPr/>
        <w:t>committing</w:t>
      </w:r>
      <w:r>
        <w:rPr>
          <w:spacing w:val="-39"/>
        </w:rPr>
        <w:t> </w:t>
      </w:r>
      <w:r>
        <w:rPr/>
        <w:t>various</w:t>
      </w:r>
      <w:r>
        <w:rPr>
          <w:spacing w:val="-39"/>
        </w:rPr>
        <w:t> </w:t>
      </w:r>
      <w:r>
        <w:rPr/>
        <w:t>Commonwealth</w:t>
      </w:r>
      <w:r>
        <w:rPr>
          <w:spacing w:val="-39"/>
        </w:rPr>
        <w:t> </w:t>
      </w:r>
      <w:r>
        <w:rPr/>
        <w:t>offences</w:t>
      </w:r>
      <w:r>
        <w:rPr>
          <w:spacing w:val="-40"/>
        </w:rPr>
        <w:t> </w:t>
      </w:r>
      <w:r>
        <w:rPr/>
        <w:t>also</w:t>
      </w:r>
      <w:r>
        <w:rPr>
          <w:spacing w:val="-38"/>
        </w:rPr>
        <w:t> </w:t>
      </w:r>
      <w:r>
        <w:rPr/>
        <w:t>rose</w:t>
      </w:r>
      <w:r>
        <w:rPr>
          <w:spacing w:val="-38"/>
        </w:rPr>
        <w:t> </w:t>
      </w:r>
      <w:r>
        <w:rPr/>
        <w:t>from</w:t>
      </w:r>
      <w:r>
        <w:rPr>
          <w:spacing w:val="-38"/>
        </w:rPr>
        <w:t> </w:t>
      </w:r>
      <w:r>
        <w:rPr/>
        <w:t>this</w:t>
      </w:r>
      <w:r>
        <w:rPr>
          <w:spacing w:val="-40"/>
        </w:rPr>
        <w:t> </w:t>
      </w:r>
      <w:r>
        <w:rPr/>
        <w:t>date. Under</w:t>
      </w:r>
      <w:r>
        <w:rPr>
          <w:spacing w:val="-33"/>
        </w:rPr>
        <w:t> </w:t>
      </w:r>
      <w:r>
        <w:rPr/>
        <w:t>most</w:t>
      </w:r>
      <w:r>
        <w:rPr>
          <w:spacing w:val="-32"/>
        </w:rPr>
        <w:t> </w:t>
      </w:r>
      <w:r>
        <w:rPr/>
        <w:t>Commonwealth</w:t>
      </w:r>
      <w:r>
        <w:rPr>
          <w:spacing w:val="-34"/>
        </w:rPr>
        <w:t> </w:t>
      </w:r>
      <w:r>
        <w:rPr/>
        <w:t>laws,</w:t>
      </w:r>
      <w:r>
        <w:rPr>
          <w:spacing w:val="-33"/>
        </w:rPr>
        <w:t> </w:t>
      </w:r>
      <w:r>
        <w:rPr/>
        <w:t>financial</w:t>
      </w:r>
      <w:r>
        <w:rPr>
          <w:spacing w:val="-34"/>
        </w:rPr>
        <w:t> </w:t>
      </w:r>
      <w:r>
        <w:rPr/>
        <w:t>penalties</w:t>
      </w:r>
      <w:r>
        <w:rPr>
          <w:spacing w:val="-35"/>
        </w:rPr>
        <w:t> </w:t>
      </w:r>
      <w:r>
        <w:rPr/>
        <w:t>are</w:t>
      </w:r>
      <w:r>
        <w:rPr>
          <w:spacing w:val="-32"/>
        </w:rPr>
        <w:t> </w:t>
      </w:r>
      <w:r>
        <w:rPr/>
        <w:t>generally</w:t>
      </w:r>
      <w:r>
        <w:rPr>
          <w:spacing w:val="-32"/>
        </w:rPr>
        <w:t> </w:t>
      </w:r>
      <w:r>
        <w:rPr/>
        <w:t>expressed</w:t>
      </w:r>
      <w:r>
        <w:rPr>
          <w:spacing w:val="-36"/>
        </w:rPr>
        <w:t> </w:t>
      </w:r>
      <w:r>
        <w:rPr/>
        <w:t>in</w:t>
      </w:r>
      <w:r>
        <w:rPr>
          <w:spacing w:val="-33"/>
        </w:rPr>
        <w:t> </w:t>
      </w:r>
      <w:r>
        <w:rPr/>
        <w:t>terms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‘penalty</w:t>
      </w:r>
      <w:r>
        <w:rPr>
          <w:spacing w:val="-31"/>
        </w:rPr>
        <w:t> </w:t>
      </w:r>
      <w:r>
        <w:rPr/>
        <w:t>units’ instead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dollar</w:t>
      </w:r>
      <w:r>
        <w:rPr>
          <w:spacing w:val="-31"/>
        </w:rPr>
        <w:t> </w:t>
      </w:r>
      <w:r>
        <w:rPr/>
        <w:t>figures.</w:t>
      </w:r>
      <w:r>
        <w:rPr>
          <w:spacing w:val="-27"/>
        </w:rPr>
        <w:t> </w:t>
      </w:r>
      <w:r>
        <w:rPr/>
        <w:t>As</w:t>
      </w:r>
      <w:r>
        <w:rPr>
          <w:spacing w:val="-30"/>
        </w:rPr>
        <w:t> </w:t>
      </w:r>
      <w:r>
        <w:rPr/>
        <w:t>an</w:t>
      </w:r>
      <w:r>
        <w:rPr>
          <w:spacing w:val="-31"/>
        </w:rPr>
        <w:t> </w:t>
      </w:r>
      <w:r>
        <w:rPr/>
        <w:t>example,</w:t>
      </w:r>
      <w:r>
        <w:rPr>
          <w:spacing w:val="-32"/>
        </w:rPr>
        <w:t> </w:t>
      </w:r>
      <w:r>
        <w:rPr/>
        <w:t>a</w:t>
      </w:r>
      <w:r>
        <w:rPr>
          <w:spacing w:val="-29"/>
        </w:rPr>
        <w:t> </w:t>
      </w:r>
      <w:r>
        <w:rPr/>
        <w:t>maximum</w:t>
      </w:r>
      <w:r>
        <w:rPr>
          <w:spacing w:val="-31"/>
        </w:rPr>
        <w:t> </w:t>
      </w:r>
      <w:r>
        <w:rPr/>
        <w:t>fine</w:t>
      </w:r>
      <w:r>
        <w:rPr>
          <w:spacing w:val="-28"/>
        </w:rPr>
        <w:t> </w:t>
      </w:r>
      <w:r>
        <w:rPr/>
        <w:t>would</w:t>
      </w:r>
      <w:r>
        <w:rPr>
          <w:spacing w:val="-33"/>
        </w:rPr>
        <w:t> </w:t>
      </w:r>
      <w:r>
        <w:rPr/>
        <w:t>generally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expressed</w:t>
      </w:r>
      <w:r>
        <w:rPr>
          <w:spacing w:val="-31"/>
        </w:rPr>
        <w:t> </w:t>
      </w:r>
      <w:r>
        <w:rPr/>
        <w:t>as</w:t>
      </w:r>
      <w:r>
        <w:rPr>
          <w:spacing w:val="-28"/>
        </w:rPr>
        <w:t> </w:t>
      </w:r>
      <w:r>
        <w:rPr/>
        <w:t>‘10</w:t>
      </w:r>
      <w:r>
        <w:rPr>
          <w:spacing w:val="-30"/>
        </w:rPr>
        <w:t> </w:t>
      </w:r>
      <w:r>
        <w:rPr/>
        <w:t>penalty units’</w:t>
      </w:r>
      <w:r>
        <w:rPr>
          <w:spacing w:val="-16"/>
        </w:rPr>
        <w:t> </w:t>
      </w:r>
      <w:r>
        <w:rPr/>
        <w:t>as</w:t>
      </w:r>
      <w:r>
        <w:rPr>
          <w:spacing w:val="-10"/>
        </w:rPr>
        <w:t> </w:t>
      </w:r>
      <w:r>
        <w:rPr/>
        <w:t>opposed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dollar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$1,800.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1" w:lineRule="auto" w:before="1"/>
        <w:ind w:left="855" w:right="999"/>
      </w:pPr>
      <w:r>
        <w:rPr/>
        <w:t>The</w:t>
      </w:r>
      <w:r>
        <w:rPr>
          <w:spacing w:val="-31"/>
        </w:rPr>
        <w:t> </w:t>
      </w:r>
      <w:r>
        <w:rPr/>
        <w:t>increase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Commonwealth</w:t>
      </w:r>
      <w:r>
        <w:rPr>
          <w:spacing w:val="-30"/>
        </w:rPr>
        <w:t> </w:t>
      </w:r>
      <w:r>
        <w:rPr/>
        <w:t>penalty</w:t>
      </w:r>
      <w:r>
        <w:rPr>
          <w:spacing w:val="-29"/>
        </w:rPr>
        <w:t> </w:t>
      </w:r>
      <w:r>
        <w:rPr/>
        <w:t>unit</w:t>
      </w:r>
      <w:r>
        <w:rPr>
          <w:spacing w:val="-30"/>
        </w:rPr>
        <w:t> </w:t>
      </w:r>
      <w:r>
        <w:rPr/>
        <w:t>value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necessary</w:t>
      </w:r>
      <w:r>
        <w:rPr>
          <w:spacing w:val="-30"/>
        </w:rPr>
        <w:t> </w:t>
      </w:r>
      <w:r>
        <w:rPr/>
        <w:t>to</w:t>
      </w:r>
      <w:r>
        <w:rPr>
          <w:spacing w:val="-33"/>
        </w:rPr>
        <w:t> </w:t>
      </w:r>
      <w:r>
        <w:rPr/>
        <w:t>accommodate</w:t>
      </w:r>
      <w:r>
        <w:rPr>
          <w:spacing w:val="-32"/>
        </w:rPr>
        <w:t> </w:t>
      </w:r>
      <w:r>
        <w:rPr/>
        <w:t>inflation</w:t>
      </w:r>
      <w:r>
        <w:rPr>
          <w:spacing w:val="-30"/>
        </w:rPr>
        <w:t> </w:t>
      </w:r>
      <w:r>
        <w:rPr/>
        <w:t>since</w:t>
      </w:r>
      <w:r>
        <w:rPr>
          <w:spacing w:val="-31"/>
        </w:rPr>
        <w:t> </w:t>
      </w:r>
      <w:r>
        <w:rPr/>
        <w:t>the value</w:t>
      </w:r>
      <w:r>
        <w:rPr>
          <w:spacing w:val="-29"/>
        </w:rPr>
        <w:t> </w:t>
      </w:r>
      <w:r>
        <w:rPr/>
        <w:t>was</w:t>
      </w:r>
      <w:r>
        <w:rPr>
          <w:spacing w:val="-28"/>
        </w:rPr>
        <w:t> </w:t>
      </w:r>
      <w:r>
        <w:rPr/>
        <w:t>last</w:t>
      </w:r>
      <w:r>
        <w:rPr>
          <w:spacing w:val="-29"/>
        </w:rPr>
        <w:t> </w:t>
      </w:r>
      <w:r>
        <w:rPr/>
        <w:t>adjusted</w:t>
      </w:r>
      <w:r>
        <w:rPr>
          <w:spacing w:val="-30"/>
        </w:rPr>
        <w:t> </w:t>
      </w:r>
      <w:r>
        <w:rPr/>
        <w:t>in</w:t>
      </w:r>
      <w:r>
        <w:rPr>
          <w:spacing w:val="-32"/>
        </w:rPr>
        <w:t> </w:t>
      </w:r>
      <w:r>
        <w:rPr/>
        <w:t>2012,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ensure</w:t>
      </w:r>
      <w:r>
        <w:rPr>
          <w:spacing w:val="-27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real</w:t>
      </w:r>
      <w:r>
        <w:rPr>
          <w:spacing w:val="-30"/>
        </w:rPr>
        <w:t> </w:t>
      </w:r>
      <w:r>
        <w:rPr/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penalty</w:t>
      </w:r>
      <w:r>
        <w:rPr>
          <w:spacing w:val="-29"/>
        </w:rPr>
        <w:t> </w:t>
      </w:r>
      <w:r>
        <w:rPr/>
        <w:t>unit</w:t>
      </w:r>
      <w:r>
        <w:rPr>
          <w:spacing w:val="-30"/>
        </w:rPr>
        <w:t> </w:t>
      </w:r>
      <w:r>
        <w:rPr/>
        <w:t>is</w:t>
      </w:r>
      <w:r>
        <w:rPr>
          <w:spacing w:val="-29"/>
        </w:rPr>
        <w:t> </w:t>
      </w:r>
      <w:r>
        <w:rPr/>
        <w:t>maintained.</w:t>
      </w:r>
      <w:r>
        <w:rPr>
          <w:spacing w:val="-27"/>
        </w:rPr>
        <w:t> </w:t>
      </w:r>
      <w:r>
        <w:rPr/>
        <w:t>Maintaining the</w:t>
      </w:r>
      <w:r>
        <w:rPr>
          <w:spacing w:val="-22"/>
        </w:rPr>
        <w:t> </w:t>
      </w:r>
      <w:r>
        <w:rPr/>
        <w:t>value</w:t>
      </w:r>
      <w:r>
        <w:rPr>
          <w:spacing w:val="-24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penalty</w:t>
      </w:r>
      <w:r>
        <w:rPr>
          <w:spacing w:val="-21"/>
        </w:rPr>
        <w:t> </w:t>
      </w:r>
      <w:r>
        <w:rPr/>
        <w:t>unit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real</w:t>
      </w:r>
      <w:r>
        <w:rPr>
          <w:spacing w:val="-23"/>
        </w:rPr>
        <w:t> </w:t>
      </w:r>
      <w:r>
        <w:rPr/>
        <w:t>terms</w:t>
      </w:r>
      <w:r>
        <w:rPr>
          <w:spacing w:val="-26"/>
        </w:rPr>
        <w:t> </w:t>
      </w:r>
      <w:r>
        <w:rPr/>
        <w:t>ensures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financial</w:t>
      </w:r>
      <w:r>
        <w:rPr>
          <w:spacing w:val="-23"/>
        </w:rPr>
        <w:t> </w:t>
      </w:r>
      <w:r>
        <w:rPr/>
        <w:t>penalties</w:t>
      </w:r>
      <w:r>
        <w:rPr>
          <w:spacing w:val="-22"/>
        </w:rPr>
        <w:t> </w:t>
      </w:r>
      <w:r>
        <w:rPr/>
        <w:t>remain</w:t>
      </w:r>
      <w:r>
        <w:rPr>
          <w:spacing w:val="-27"/>
        </w:rPr>
        <w:t> </w:t>
      </w:r>
      <w:r>
        <w:rPr/>
        <w:t>effective</w:t>
      </w:r>
      <w:r>
        <w:rPr>
          <w:spacing w:val="-23"/>
        </w:rPr>
        <w:t> </w:t>
      </w:r>
      <w:r>
        <w:rPr/>
        <w:t>deterrents</w:t>
      </w:r>
      <w:r>
        <w:rPr>
          <w:spacing w:val="-22"/>
        </w:rPr>
        <w:t> </w:t>
      </w:r>
      <w:r>
        <w:rPr/>
        <w:t>to the committing of Commonwealth</w:t>
      </w:r>
      <w:r>
        <w:rPr>
          <w:spacing w:val="-44"/>
        </w:rPr>
        <w:t> </w:t>
      </w:r>
      <w:r>
        <w:rPr/>
        <w:t>offences.</w:t>
      </w:r>
    </w:p>
    <w:p>
      <w:pPr>
        <w:pStyle w:val="BodyText"/>
        <w:rPr>
          <w:sz w:val="24"/>
        </w:rPr>
      </w:pPr>
    </w:p>
    <w:p>
      <w:pPr>
        <w:pStyle w:val="BodyText"/>
        <w:spacing w:line="261" w:lineRule="auto"/>
        <w:ind w:left="855" w:right="999"/>
      </w:pPr>
      <w:r>
        <w:rPr/>
        <w:pict>
          <v:shape style="position:absolute;margin-left:64.199005pt;margin-top:96.743141pt;width:90.5pt;height:25.2pt;mso-position-horizontal-relative:page;mso-position-vertical-relative:paragraph;z-index:-15839232" coordorigin="1284,1935" coordsize="1810,504" path="m3094,2187l1284,2187,1284,2439,3094,2439,3094,2187xm3094,1935l1284,1935,1284,2187,3094,2187,3094,1935xe" filled="true" fillcolor="#bfbfb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4.920013pt;margin-top:96.743141pt;width:192.4pt;height:25.2pt;mso-position-horizontal-relative:page;mso-position-vertical-relative:paragraph;z-index:-15838720" coordorigin="7298,1935" coordsize="3848,504" path="m11146,2187l7298,2187,7298,2439,11146,2439,11146,2187xm11146,1935l7298,1935,7298,2187,11146,2187,11146,1935xe" filled="true" fillcolor="#c4bc96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30"/>
        </w:rPr>
        <w:t> </w:t>
      </w:r>
      <w:r>
        <w:rPr/>
        <w:t>new</w:t>
      </w:r>
      <w:r>
        <w:rPr>
          <w:spacing w:val="-29"/>
        </w:rPr>
        <w:t> </w:t>
      </w:r>
      <w:r>
        <w:rPr/>
        <w:t>penalty</w:t>
      </w:r>
      <w:r>
        <w:rPr>
          <w:spacing w:val="-28"/>
        </w:rPr>
        <w:t> </w:t>
      </w:r>
      <w:r>
        <w:rPr/>
        <w:t>unit</w:t>
      </w:r>
      <w:r>
        <w:rPr>
          <w:spacing w:val="-32"/>
        </w:rPr>
        <w:t> </w:t>
      </w:r>
      <w:r>
        <w:rPr/>
        <w:t>value</w:t>
      </w:r>
      <w:r>
        <w:rPr>
          <w:spacing w:val="-30"/>
        </w:rPr>
        <w:t> </w:t>
      </w:r>
      <w:r>
        <w:rPr/>
        <w:t>will</w:t>
      </w:r>
      <w:r>
        <w:rPr>
          <w:spacing w:val="-29"/>
        </w:rPr>
        <w:t> </w:t>
      </w:r>
      <w:r>
        <w:rPr/>
        <w:t>only</w:t>
      </w:r>
      <w:r>
        <w:rPr>
          <w:spacing w:val="-30"/>
        </w:rPr>
        <w:t> </w:t>
      </w:r>
      <w:r>
        <w:rPr/>
        <w:t>apply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offences</w:t>
      </w:r>
      <w:r>
        <w:rPr>
          <w:spacing w:val="-31"/>
        </w:rPr>
        <w:t> </w:t>
      </w:r>
      <w:r>
        <w:rPr/>
        <w:t>committed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after</w:t>
      </w:r>
      <w:r>
        <w:rPr>
          <w:spacing w:val="-32"/>
        </w:rPr>
        <w:t> </w:t>
      </w:r>
      <w:r>
        <w:rPr/>
        <w:t>31</w:t>
      </w:r>
      <w:r>
        <w:rPr>
          <w:spacing w:val="-29"/>
        </w:rPr>
        <w:t> </w:t>
      </w:r>
      <w:r>
        <w:rPr/>
        <w:t>July</w:t>
      </w:r>
      <w:r>
        <w:rPr>
          <w:spacing w:val="-30"/>
        </w:rPr>
        <w:t> </w:t>
      </w:r>
      <w:r>
        <w:rPr/>
        <w:t>2015.</w:t>
      </w:r>
      <w:r>
        <w:rPr>
          <w:spacing w:val="-30"/>
        </w:rPr>
        <w:t> </w:t>
      </w:r>
      <w:r>
        <w:rPr/>
        <w:t>This</w:t>
      </w:r>
      <w:r>
        <w:rPr>
          <w:spacing w:val="-31"/>
        </w:rPr>
        <w:t> </w:t>
      </w:r>
      <w:r>
        <w:rPr/>
        <w:t>means</w:t>
      </w:r>
      <w:r>
        <w:rPr>
          <w:spacing w:val="-29"/>
        </w:rPr>
        <w:t> </w:t>
      </w:r>
      <w:r>
        <w:rPr/>
        <w:t>that the</w:t>
      </w:r>
      <w:r>
        <w:rPr>
          <w:spacing w:val="-31"/>
        </w:rPr>
        <w:t> </w:t>
      </w:r>
      <w:r>
        <w:rPr/>
        <w:t>changes</w:t>
      </w:r>
      <w:r>
        <w:rPr>
          <w:spacing w:val="-31"/>
        </w:rPr>
        <w:t> </w:t>
      </w:r>
      <w:r>
        <w:rPr/>
        <w:t>will</w:t>
      </w:r>
      <w:r>
        <w:rPr>
          <w:spacing w:val="-29"/>
        </w:rPr>
        <w:t> </w:t>
      </w:r>
      <w:r>
        <w:rPr/>
        <w:t>not</w:t>
      </w:r>
      <w:r>
        <w:rPr>
          <w:spacing w:val="-31"/>
        </w:rPr>
        <w:t> </w:t>
      </w:r>
      <w:r>
        <w:rPr/>
        <w:t>impact</w:t>
      </w:r>
      <w:r>
        <w:rPr>
          <w:spacing w:val="-31"/>
        </w:rPr>
        <w:t> </w:t>
      </w:r>
      <w:r>
        <w:rPr/>
        <w:t>on</w:t>
      </w:r>
      <w:r>
        <w:rPr>
          <w:spacing w:val="-34"/>
        </w:rPr>
        <w:t> </w:t>
      </w:r>
      <w:r>
        <w:rPr/>
        <w:t>current</w:t>
      </w:r>
      <w:r>
        <w:rPr>
          <w:spacing w:val="-30"/>
        </w:rPr>
        <w:t> </w:t>
      </w:r>
      <w:r>
        <w:rPr/>
        <w:t>proceedings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offences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were</w:t>
      </w:r>
      <w:r>
        <w:rPr>
          <w:spacing w:val="-30"/>
        </w:rPr>
        <w:t> </w:t>
      </w:r>
      <w:r>
        <w:rPr/>
        <w:t>committed</w:t>
      </w:r>
      <w:r>
        <w:rPr>
          <w:spacing w:val="-31"/>
        </w:rPr>
        <w:t> </w:t>
      </w:r>
      <w:r>
        <w:rPr/>
        <w:t>before</w:t>
      </w:r>
      <w:r>
        <w:rPr>
          <w:spacing w:val="-31"/>
        </w:rPr>
        <w:t> </w:t>
      </w:r>
      <w:r>
        <w:rPr/>
        <w:t>this</w:t>
      </w:r>
      <w:r>
        <w:rPr>
          <w:spacing w:val="-29"/>
        </w:rPr>
        <w:t> </w:t>
      </w:r>
      <w:r>
        <w:rPr/>
        <w:t>date.</w:t>
      </w:r>
      <w:r>
        <w:rPr>
          <w:spacing w:val="-31"/>
        </w:rPr>
        <w:t> </w:t>
      </w:r>
      <w:r>
        <w:rPr/>
        <w:t>Any fines</w:t>
      </w:r>
      <w:r>
        <w:rPr>
          <w:spacing w:val="-31"/>
        </w:rPr>
        <w:t> </w:t>
      </w:r>
      <w:r>
        <w:rPr/>
        <w:t>imposed</w:t>
      </w:r>
      <w:r>
        <w:rPr>
          <w:spacing w:val="-28"/>
        </w:rPr>
        <w:t> </w:t>
      </w:r>
      <w:r>
        <w:rPr/>
        <w:t>for</w:t>
      </w:r>
      <w:r>
        <w:rPr>
          <w:spacing w:val="-30"/>
        </w:rPr>
        <w:t> </w:t>
      </w:r>
      <w:r>
        <w:rPr/>
        <w:t>offences</w:t>
      </w:r>
      <w:r>
        <w:rPr>
          <w:spacing w:val="-30"/>
        </w:rPr>
        <w:t> </w:t>
      </w:r>
      <w:r>
        <w:rPr/>
        <w:t>committed</w:t>
      </w:r>
      <w:r>
        <w:rPr>
          <w:spacing w:val="-28"/>
        </w:rPr>
        <w:t> </w:t>
      </w:r>
      <w:r>
        <w:rPr/>
        <w:t>before</w:t>
      </w:r>
      <w:r>
        <w:rPr>
          <w:spacing w:val="-30"/>
        </w:rPr>
        <w:t> </w:t>
      </w:r>
      <w:r>
        <w:rPr/>
        <w:t>31</w:t>
      </w:r>
      <w:r>
        <w:rPr>
          <w:spacing w:val="-28"/>
        </w:rPr>
        <w:t> </w:t>
      </w:r>
      <w:r>
        <w:rPr/>
        <w:t>July</w:t>
      </w:r>
      <w:r>
        <w:rPr>
          <w:spacing w:val="-27"/>
        </w:rPr>
        <w:t> </w:t>
      </w:r>
      <w:r>
        <w:rPr/>
        <w:t>2015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/>
        <w:t>be</w:t>
      </w:r>
      <w:r>
        <w:rPr>
          <w:spacing w:val="-26"/>
        </w:rPr>
        <w:t> </w:t>
      </w:r>
      <w:r>
        <w:rPr/>
        <w:t>based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value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penalty</w:t>
      </w:r>
      <w:r>
        <w:rPr>
          <w:spacing w:val="-28"/>
        </w:rPr>
        <w:t> </w:t>
      </w:r>
      <w:r>
        <w:rPr/>
        <w:t>unit</w:t>
      </w:r>
      <w:r>
        <w:rPr>
          <w:spacing w:val="-28"/>
        </w:rPr>
        <w:t> </w:t>
      </w:r>
      <w:r>
        <w:rPr/>
        <w:t>at the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offence</w:t>
      </w:r>
      <w:r>
        <w:rPr>
          <w:spacing w:val="-26"/>
        </w:rPr>
        <w:t> </w:t>
      </w:r>
      <w:r>
        <w:rPr/>
        <w:t>was</w:t>
      </w:r>
      <w:r>
        <w:rPr>
          <w:spacing w:val="-27"/>
        </w:rPr>
        <w:t> </w:t>
      </w:r>
      <w:r>
        <w:rPr/>
        <w:t>committed.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table</w:t>
      </w:r>
      <w:r>
        <w:rPr>
          <w:spacing w:val="-25"/>
        </w:rPr>
        <w:t> </w:t>
      </w:r>
      <w:r>
        <w:rPr/>
        <w:t>below</w:t>
      </w:r>
      <w:r>
        <w:rPr>
          <w:spacing w:val="-27"/>
        </w:rPr>
        <w:t> </w:t>
      </w:r>
      <w:r>
        <w:rPr/>
        <w:t>illustrates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change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examples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indicate the maximum penalty a court may impose and what will be imposed under the current Infringement Notice</w:t>
      </w:r>
      <w:r>
        <w:rPr>
          <w:spacing w:val="-14"/>
        </w:rPr>
        <w:t> </w:t>
      </w:r>
      <w:r>
        <w:rPr/>
        <w:t>Scheme</w:t>
      </w:r>
      <w:r>
        <w:rPr>
          <w:spacing w:val="-14"/>
        </w:rPr>
        <w:t> </w:t>
      </w:r>
      <w:r>
        <w:rPr/>
        <w:t>(INS)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came</w:t>
      </w:r>
      <w:r>
        <w:rPr>
          <w:spacing w:val="-14"/>
        </w:rPr>
        <w:t> </w:t>
      </w:r>
      <w:r>
        <w:rPr/>
        <w:t>into</w:t>
      </w:r>
      <w:r>
        <w:rPr>
          <w:spacing w:val="-16"/>
        </w:rPr>
        <w:t> </w:t>
      </w:r>
      <w:r>
        <w:rPr/>
        <w:t>effect</w:t>
      </w:r>
      <w:r>
        <w:rPr>
          <w:spacing w:val="-19"/>
        </w:rPr>
        <w:t> </w:t>
      </w:r>
      <w:r>
        <w:rPr/>
        <w:t>on</w:t>
      </w:r>
      <w:r>
        <w:rPr>
          <w:spacing w:val="-15"/>
        </w:rPr>
        <w:t> </w:t>
      </w:r>
      <w:r>
        <w:rPr/>
        <w:t>1</w:t>
      </w:r>
      <w:r>
        <w:rPr>
          <w:spacing w:val="-14"/>
        </w:rPr>
        <w:t> </w:t>
      </w:r>
      <w:r>
        <w:rPr/>
        <w:t>February</w:t>
      </w:r>
      <w:r>
        <w:rPr>
          <w:spacing w:val="-14"/>
        </w:rPr>
        <w:t> </w:t>
      </w:r>
      <w:r>
        <w:rPr/>
        <w:t>2014.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"/>
        <w:gridCol w:w="1810"/>
        <w:gridCol w:w="101"/>
        <w:gridCol w:w="101"/>
        <w:gridCol w:w="1900"/>
        <w:gridCol w:w="1900"/>
        <w:gridCol w:w="102"/>
        <w:gridCol w:w="1999"/>
        <w:gridCol w:w="2052"/>
      </w:tblGrid>
      <w:tr>
        <w:trPr>
          <w:trHeight w:val="756" w:hRule="atLeast"/>
        </w:trPr>
        <w:tc>
          <w:tcPr>
            <w:tcW w:w="2013" w:type="dxa"/>
            <w:gridSpan w:val="3"/>
            <w:tcBorders>
              <w:bottom w:val="single" w:sz="8" w:space="0" w:color="BFBFBF"/>
            </w:tcBorders>
          </w:tcPr>
          <w:p>
            <w:pPr>
              <w:pStyle w:val="TableParagraph"/>
              <w:spacing w:before="6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Customs Act 1901</w:t>
            </w:r>
          </w:p>
          <w:p>
            <w:pPr>
              <w:pStyle w:val="TableParagraph"/>
              <w:spacing w:before="22"/>
              <w:ind w:left="100"/>
              <w:rPr>
                <w:sz w:val="20"/>
              </w:rPr>
            </w:pPr>
            <w:r>
              <w:rPr>
                <w:sz w:val="20"/>
              </w:rPr>
              <w:t>Offence</w:t>
            </w:r>
          </w:p>
        </w:tc>
        <w:tc>
          <w:tcPr>
            <w:tcW w:w="101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  <w:gridSpan w:val="2"/>
            <w:tcBorders>
              <w:left w:val="nil"/>
              <w:right w:val="nil"/>
            </w:tcBorders>
            <w:shd w:val="clear" w:color="auto" w:fill="95B3D7"/>
          </w:tcPr>
          <w:p>
            <w:pPr>
              <w:pStyle w:val="TableParagraph"/>
              <w:spacing w:line="264" w:lineRule="auto" w:before="6"/>
              <w:ind w:left="7" w:right="240"/>
              <w:rPr>
                <w:sz w:val="20"/>
              </w:rPr>
            </w:pPr>
            <w:r>
              <w:rPr>
                <w:sz w:val="20"/>
              </w:rPr>
              <w:t>Penalty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conduct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occurred between 28 December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2012</w:t>
            </w:r>
          </w:p>
          <w:p>
            <w:pPr>
              <w:pStyle w:val="TableParagraph"/>
              <w:spacing w:line="224" w:lineRule="exact"/>
              <w:ind w:left="7"/>
              <w:rPr>
                <w:sz w:val="20"/>
              </w:rPr>
            </w:pPr>
            <w:r>
              <w:rPr>
                <w:sz w:val="20"/>
              </w:rPr>
              <w:t>and 30 July 2015</w:t>
            </w:r>
          </w:p>
        </w:tc>
        <w:tc>
          <w:tcPr>
            <w:tcW w:w="102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64" w:lineRule="auto" w:before="6"/>
              <w:ind w:left="98" w:right="96"/>
              <w:rPr>
                <w:sz w:val="20"/>
              </w:rPr>
            </w:pPr>
            <w:r>
              <w:rPr>
                <w:sz w:val="20"/>
              </w:rPr>
              <w:t>Penalty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conduct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occurs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or after 31 July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</w:tr>
      <w:tr>
        <w:trPr>
          <w:trHeight w:val="249" w:hRule="atLeast"/>
        </w:trPr>
        <w:tc>
          <w:tcPr>
            <w:tcW w:w="102" w:type="dxa"/>
            <w:tcBorders>
              <w:top w:val="single" w:sz="8" w:space="0" w:color="BFBFBF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10" w:type="dxa"/>
            <w:tcBorders>
              <w:top w:val="nil"/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" w:type="dxa"/>
            <w:tcBorders>
              <w:top w:val="single" w:sz="8" w:space="0" w:color="BFBFBF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  <w:gridSpan w:val="2"/>
          </w:tcPr>
          <w:p>
            <w:pPr>
              <w:pStyle w:val="TableParagraph"/>
              <w:tabs>
                <w:tab w:pos="1896" w:val="left" w:leader="none"/>
              </w:tabs>
              <w:spacing w:line="225" w:lineRule="exact" w:before="5"/>
              <w:ind w:left="98"/>
              <w:rPr>
                <w:sz w:val="20"/>
              </w:rPr>
            </w:pPr>
            <w:r>
              <w:rPr>
                <w:spacing w:val="-1"/>
                <w:w w:val="95"/>
                <w:sz w:val="20"/>
                <w:shd w:fill="B8CCE4" w:color="auto" w:val="clear"/>
              </w:rPr>
              <w:t>Natural</w:t>
            </w:r>
            <w:r>
              <w:rPr>
                <w:spacing w:val="-8"/>
                <w:w w:val="95"/>
                <w:sz w:val="20"/>
                <w:shd w:fill="B8CCE4" w:color="auto" w:val="clear"/>
              </w:rPr>
              <w:t> </w:t>
            </w:r>
            <w:r>
              <w:rPr>
                <w:w w:val="95"/>
                <w:sz w:val="20"/>
                <w:shd w:fill="B8CCE4" w:color="auto" w:val="clear"/>
              </w:rPr>
              <w:t>Person</w:t>
            </w:r>
            <w:r>
              <w:rPr>
                <w:sz w:val="20"/>
                <w:shd w:fill="B8CCE4" w:color="auto" w:val="clear"/>
              </w:rPr>
              <w:tab/>
            </w:r>
          </w:p>
        </w:tc>
        <w:tc>
          <w:tcPr>
            <w:tcW w:w="2002" w:type="dxa"/>
            <w:gridSpan w:val="2"/>
          </w:tcPr>
          <w:p>
            <w:pPr>
              <w:pStyle w:val="TableParagraph"/>
              <w:tabs>
                <w:tab w:pos="1896" w:val="left" w:leader="none"/>
              </w:tabs>
              <w:spacing w:line="225" w:lineRule="exact" w:before="5"/>
              <w:rPr>
                <w:sz w:val="20"/>
              </w:rPr>
            </w:pPr>
            <w:r>
              <w:rPr>
                <w:spacing w:val="-1"/>
                <w:w w:val="95"/>
                <w:sz w:val="20"/>
                <w:shd w:fill="B8CCE4" w:color="auto" w:val="clear"/>
              </w:rPr>
              <w:t>Body Corporate</w:t>
            </w:r>
            <w:r>
              <w:rPr>
                <w:spacing w:val="-1"/>
                <w:sz w:val="20"/>
                <w:shd w:fill="B8CCE4" w:color="auto" w:val="clear"/>
              </w:rPr>
              <w:tab/>
            </w:r>
          </w:p>
        </w:tc>
        <w:tc>
          <w:tcPr>
            <w:tcW w:w="1999" w:type="dxa"/>
          </w:tcPr>
          <w:p>
            <w:pPr>
              <w:pStyle w:val="TableParagraph"/>
              <w:tabs>
                <w:tab w:pos="1893" w:val="left" w:leader="none"/>
              </w:tabs>
              <w:spacing w:line="225" w:lineRule="exact" w:before="5"/>
              <w:ind w:left="98"/>
              <w:rPr>
                <w:sz w:val="20"/>
              </w:rPr>
            </w:pPr>
            <w:r>
              <w:rPr>
                <w:spacing w:val="-1"/>
                <w:w w:val="95"/>
                <w:sz w:val="20"/>
                <w:shd w:fill="DDD9C3" w:color="auto" w:val="clear"/>
              </w:rPr>
              <w:t>Natural</w:t>
            </w:r>
            <w:r>
              <w:rPr>
                <w:spacing w:val="-5"/>
                <w:w w:val="95"/>
                <w:sz w:val="20"/>
                <w:shd w:fill="DDD9C3" w:color="auto" w:val="clear"/>
              </w:rPr>
              <w:t> </w:t>
            </w:r>
            <w:r>
              <w:rPr>
                <w:spacing w:val="-1"/>
                <w:w w:val="95"/>
                <w:sz w:val="20"/>
                <w:shd w:fill="DDD9C3" w:color="auto" w:val="clear"/>
              </w:rPr>
              <w:t>Person</w:t>
            </w:r>
            <w:r>
              <w:rPr>
                <w:spacing w:val="-1"/>
                <w:sz w:val="20"/>
                <w:shd w:fill="DDD9C3" w:color="auto" w:val="clear"/>
              </w:rPr>
              <w:tab/>
            </w:r>
          </w:p>
        </w:tc>
        <w:tc>
          <w:tcPr>
            <w:tcW w:w="2052" w:type="dxa"/>
          </w:tcPr>
          <w:p>
            <w:pPr>
              <w:pStyle w:val="TableParagraph"/>
              <w:tabs>
                <w:tab w:pos="1946" w:val="left" w:leader="none"/>
              </w:tabs>
              <w:spacing w:line="225" w:lineRule="exact" w:before="5"/>
              <w:rPr>
                <w:sz w:val="20"/>
              </w:rPr>
            </w:pPr>
            <w:r>
              <w:rPr>
                <w:spacing w:val="-1"/>
                <w:w w:val="95"/>
                <w:sz w:val="20"/>
                <w:shd w:fill="DDD9C3" w:color="auto" w:val="clear"/>
              </w:rPr>
              <w:t>Body</w:t>
            </w:r>
            <w:r>
              <w:rPr>
                <w:spacing w:val="-3"/>
                <w:w w:val="95"/>
                <w:sz w:val="20"/>
                <w:shd w:fill="DDD9C3" w:color="auto" w:val="clear"/>
              </w:rPr>
              <w:t> </w:t>
            </w:r>
            <w:r>
              <w:rPr>
                <w:spacing w:val="-1"/>
                <w:w w:val="95"/>
                <w:sz w:val="20"/>
                <w:shd w:fill="DDD9C3" w:color="auto" w:val="clear"/>
              </w:rPr>
              <w:t>Corporate</w:t>
            </w:r>
            <w:r>
              <w:rPr>
                <w:spacing w:val="-1"/>
                <w:sz w:val="20"/>
                <w:shd w:fill="DDD9C3" w:color="auto" w:val="clear"/>
              </w:rPr>
              <w:tab/>
            </w:r>
          </w:p>
        </w:tc>
      </w:tr>
      <w:tr>
        <w:trPr>
          <w:trHeight w:val="1026" w:hRule="atLeast"/>
        </w:trPr>
        <w:tc>
          <w:tcPr>
            <w:tcW w:w="2013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z w:val="20"/>
              </w:rPr>
              <w:t>Sections 33(2), (3)</w:t>
            </w:r>
          </w:p>
          <w:p>
            <w:pPr>
              <w:pStyle w:val="TableParagraph"/>
              <w:spacing w:line="261" w:lineRule="auto" w:before="23"/>
              <w:ind w:left="100" w:right="5" w:hanging="1"/>
              <w:rPr>
                <w:sz w:val="20"/>
              </w:rPr>
            </w:pPr>
            <w:r>
              <w:rPr>
                <w:sz w:val="20"/>
              </w:rPr>
              <w:t>and (6) interfering with goods subject to</w:t>
            </w:r>
          </w:p>
          <w:p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Customs control</w:t>
            </w:r>
          </w:p>
        </w:tc>
        <w:tc>
          <w:tcPr>
            <w:tcW w:w="200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8"/>
              <w:ind w:left="9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1" w:lineRule="auto" w:before="23"/>
              <w:ind w:left="98" w:right="407" w:hanging="1"/>
              <w:rPr>
                <w:sz w:val="20"/>
              </w:rPr>
            </w:pPr>
            <w:r>
              <w:rPr>
                <w:sz w:val="20"/>
              </w:rPr>
              <w:t>Up to 60 penalty units ($10,200)</w:t>
            </w:r>
          </w:p>
        </w:tc>
        <w:tc>
          <w:tcPr>
            <w:tcW w:w="200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1" w:lineRule="auto" w:before="23"/>
              <w:ind w:right="296" w:hanging="1"/>
              <w:rPr>
                <w:sz w:val="20"/>
              </w:rPr>
            </w:pPr>
            <w:r>
              <w:rPr>
                <w:sz w:val="20"/>
              </w:rPr>
              <w:t>Up to 300 penalty units ($51,000)</w:t>
            </w:r>
          </w:p>
        </w:tc>
        <w:tc>
          <w:tcPr>
            <w:tcW w:w="1999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9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1" w:lineRule="auto" w:before="23"/>
              <w:ind w:right="404" w:hanging="1"/>
              <w:rPr>
                <w:sz w:val="20"/>
              </w:rPr>
            </w:pPr>
            <w:r>
              <w:rPr>
                <w:sz w:val="20"/>
              </w:rPr>
              <w:t>Up to 60 penalty units ($10,800)</w:t>
            </w:r>
          </w:p>
        </w:tc>
        <w:tc>
          <w:tcPr>
            <w:tcW w:w="205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1" w:lineRule="auto" w:before="23"/>
              <w:ind w:right="346" w:hanging="1"/>
              <w:rPr>
                <w:sz w:val="20"/>
              </w:rPr>
            </w:pPr>
            <w:r>
              <w:rPr>
                <w:sz w:val="20"/>
              </w:rPr>
              <w:t>Up to 300 penalty units ($54,000)</w:t>
            </w:r>
          </w:p>
        </w:tc>
      </w:tr>
      <w:tr>
        <w:trPr>
          <w:trHeight w:val="740" w:hRule="atLeast"/>
        </w:trPr>
        <w:tc>
          <w:tcPr>
            <w:tcW w:w="2013" w:type="dxa"/>
            <w:gridSpan w:val="3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2"/>
              <w:ind w:right="461"/>
              <w:rPr>
                <w:sz w:val="20"/>
              </w:rPr>
            </w:pPr>
            <w:r>
              <w:rPr>
                <w:sz w:val="20"/>
              </w:rPr>
              <w:t>15 penalty units ($2,550)</w:t>
            </w:r>
          </w:p>
        </w:tc>
        <w:tc>
          <w:tcPr>
            <w:tcW w:w="200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2"/>
              <w:ind w:right="462"/>
              <w:rPr>
                <w:sz w:val="20"/>
              </w:rPr>
            </w:pPr>
            <w:r>
              <w:rPr>
                <w:sz w:val="20"/>
              </w:rPr>
              <w:t>45 penalty units ($7,650)</w:t>
            </w:r>
          </w:p>
        </w:tc>
        <w:tc>
          <w:tcPr>
            <w:tcW w:w="1999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2"/>
              <w:ind w:right="459"/>
              <w:rPr>
                <w:sz w:val="20"/>
              </w:rPr>
            </w:pPr>
            <w:r>
              <w:rPr>
                <w:sz w:val="20"/>
              </w:rPr>
              <w:t>15 penalty units ($2,700)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2"/>
              <w:ind w:right="512"/>
              <w:rPr>
                <w:sz w:val="20"/>
              </w:rPr>
            </w:pPr>
            <w:r>
              <w:rPr>
                <w:sz w:val="20"/>
              </w:rPr>
              <w:t>45 penalty units ($8,100)</w:t>
            </w:r>
          </w:p>
        </w:tc>
      </w:tr>
      <w:tr>
        <w:trPr>
          <w:trHeight w:val="899" w:hRule="atLeast"/>
        </w:trPr>
        <w:tc>
          <w:tcPr>
            <w:tcW w:w="2013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64" w:lineRule="auto" w:before="5"/>
              <w:ind w:left="100" w:right="151"/>
              <w:rPr>
                <w:sz w:val="20"/>
              </w:rPr>
            </w:pPr>
            <w:r>
              <w:rPr>
                <w:sz w:val="20"/>
              </w:rPr>
              <w:t>Section 77R(1) </w:t>
            </w:r>
            <w:r>
              <w:rPr>
                <w:w w:val="95"/>
                <w:sz w:val="20"/>
              </w:rPr>
              <w:t>Breach of conditions </w:t>
            </w:r>
            <w:r>
              <w:rPr>
                <w:sz w:val="20"/>
              </w:rPr>
              <w:t>of a Depot Licence</w:t>
            </w:r>
          </w:p>
        </w:tc>
        <w:tc>
          <w:tcPr>
            <w:tcW w:w="200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5"/>
              <w:ind w:left="9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4" w:lineRule="auto" w:before="24"/>
              <w:ind w:left="98" w:right="407" w:hanging="1"/>
              <w:rPr>
                <w:sz w:val="20"/>
              </w:rPr>
            </w:pPr>
            <w:r>
              <w:rPr>
                <w:sz w:val="20"/>
              </w:rPr>
              <w:t>Up to 60 penalty units ($10,200)</w:t>
            </w:r>
          </w:p>
        </w:tc>
        <w:tc>
          <w:tcPr>
            <w:tcW w:w="200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4" w:lineRule="auto" w:before="24"/>
              <w:ind w:right="296" w:hanging="1"/>
              <w:rPr>
                <w:sz w:val="20"/>
              </w:rPr>
            </w:pPr>
            <w:r>
              <w:rPr>
                <w:sz w:val="20"/>
              </w:rPr>
              <w:t>Up to 250 penalty units ($42,500)</w:t>
            </w:r>
          </w:p>
        </w:tc>
        <w:tc>
          <w:tcPr>
            <w:tcW w:w="1999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98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4" w:lineRule="auto" w:before="24"/>
              <w:ind w:right="404" w:hanging="1"/>
              <w:rPr>
                <w:sz w:val="20"/>
              </w:rPr>
            </w:pPr>
            <w:r>
              <w:rPr>
                <w:sz w:val="20"/>
              </w:rPr>
              <w:t>Up to 60 penalty units ($10,800)</w:t>
            </w:r>
          </w:p>
        </w:tc>
        <w:tc>
          <w:tcPr>
            <w:tcW w:w="2052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Court</w:t>
            </w:r>
          </w:p>
          <w:p>
            <w:pPr>
              <w:pStyle w:val="TableParagraph"/>
              <w:spacing w:line="264" w:lineRule="auto" w:before="24"/>
              <w:ind w:right="346" w:hanging="1"/>
              <w:rPr>
                <w:sz w:val="20"/>
              </w:rPr>
            </w:pPr>
            <w:r>
              <w:rPr>
                <w:sz w:val="20"/>
              </w:rPr>
              <w:t>Up to 250 penalty units ($45,000)</w:t>
            </w:r>
          </w:p>
        </w:tc>
      </w:tr>
      <w:tr>
        <w:trPr>
          <w:trHeight w:val="867" w:hRule="atLeast"/>
        </w:trPr>
        <w:tc>
          <w:tcPr>
            <w:tcW w:w="2013" w:type="dxa"/>
            <w:gridSpan w:val="3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16"/>
              <w:ind w:left="98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4"/>
              <w:ind w:left="98" w:right="462"/>
              <w:rPr>
                <w:sz w:val="20"/>
              </w:rPr>
            </w:pPr>
            <w:r>
              <w:rPr>
                <w:sz w:val="20"/>
              </w:rPr>
              <w:t>15 penalty units ($2,550)</w:t>
            </w:r>
          </w:p>
        </w:tc>
        <w:tc>
          <w:tcPr>
            <w:tcW w:w="200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4"/>
              <w:ind w:right="462"/>
              <w:rPr>
                <w:sz w:val="20"/>
              </w:rPr>
            </w:pPr>
            <w:r>
              <w:rPr>
                <w:sz w:val="20"/>
              </w:rPr>
              <w:t>45 penalty units ($7,650)</w:t>
            </w:r>
          </w:p>
        </w:tc>
        <w:tc>
          <w:tcPr>
            <w:tcW w:w="1999" w:type="dxa"/>
            <w:tcBorders>
              <w:top w:val="nil"/>
            </w:tcBorders>
          </w:tcPr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4"/>
              <w:ind w:right="459"/>
              <w:rPr>
                <w:sz w:val="20"/>
              </w:rPr>
            </w:pPr>
            <w:r>
              <w:rPr>
                <w:sz w:val="20"/>
              </w:rPr>
              <w:t>15 penalty units ($2,700)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INS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(post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Feb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2014)</w:t>
            </w:r>
          </w:p>
          <w:p>
            <w:pPr>
              <w:pStyle w:val="TableParagraph"/>
              <w:spacing w:line="250" w:lineRule="atLeast" w:before="4"/>
              <w:ind w:right="512"/>
              <w:rPr>
                <w:sz w:val="20"/>
              </w:rPr>
            </w:pPr>
            <w:r>
              <w:rPr>
                <w:sz w:val="20"/>
              </w:rPr>
              <w:t>45 penalty units ($8,100)</w:t>
            </w:r>
          </w:p>
        </w:tc>
      </w:tr>
    </w:tbl>
    <w:p>
      <w:pPr>
        <w:spacing w:before="1"/>
        <w:ind w:left="855" w:right="0" w:firstLine="0"/>
        <w:jc w:val="left"/>
        <w:rPr>
          <w:sz w:val="15"/>
        </w:rPr>
      </w:pPr>
      <w:r>
        <w:rPr>
          <w:sz w:val="15"/>
        </w:rPr>
        <w:t>Note: All monetary figures are expressed in Australian dollars.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580" w:bottom="280" w:left="340" w:right="180"/>
        </w:sectPr>
      </w:pPr>
    </w:p>
    <w:p>
      <w:pPr>
        <w:spacing w:before="104"/>
        <w:ind w:left="1377" w:right="1547" w:firstLine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</w:rPr>
        <w:t>- 2 ­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spacing w:line="261" w:lineRule="auto"/>
        <w:ind w:left="855" w:right="1115"/>
      </w:pPr>
      <w:r>
        <w:rPr/>
        <w:t>The</w:t>
      </w:r>
      <w:r>
        <w:rPr>
          <w:spacing w:val="-28"/>
        </w:rPr>
        <w:t> </w:t>
      </w:r>
      <w:r>
        <w:rPr/>
        <w:t>Department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Immigration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Border</w:t>
      </w:r>
      <w:r>
        <w:rPr>
          <w:spacing w:val="-27"/>
        </w:rPr>
        <w:t> </w:t>
      </w:r>
      <w:r>
        <w:rPr/>
        <w:t>Protection</w:t>
      </w:r>
      <w:r>
        <w:rPr>
          <w:spacing w:val="-30"/>
        </w:rPr>
        <w:t> </w:t>
      </w:r>
      <w:r>
        <w:rPr/>
        <w:t>recognises</w:t>
      </w:r>
      <w:r>
        <w:rPr>
          <w:spacing w:val="-29"/>
        </w:rPr>
        <w:t> </w:t>
      </w:r>
      <w:r>
        <w:rPr/>
        <w:t>that</w:t>
      </w:r>
      <w:r>
        <w:rPr>
          <w:spacing w:val="-27"/>
        </w:rPr>
        <w:t> </w:t>
      </w:r>
      <w:r>
        <w:rPr/>
        <w:t>behaviour</w:t>
      </w:r>
      <w:r>
        <w:rPr>
          <w:spacing w:val="-28"/>
        </w:rPr>
        <w:t> </w:t>
      </w:r>
      <w:r>
        <w:rPr/>
        <w:t>falls</w:t>
      </w:r>
      <w:r>
        <w:rPr>
          <w:spacing w:val="-27"/>
        </w:rPr>
        <w:t> </w:t>
      </w:r>
      <w:r>
        <w:rPr/>
        <w:t>on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/>
        <w:t>spectrum ranging from positive compliance behaviours through to intentional or criminal non-compliance. We employ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suite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treatments</w:t>
      </w:r>
      <w:r>
        <w:rPr>
          <w:spacing w:val="-28"/>
        </w:rPr>
        <w:t> </w:t>
      </w:r>
      <w:r>
        <w:rPr/>
        <w:t>that</w:t>
      </w:r>
      <w:r>
        <w:rPr>
          <w:spacing w:val="-26"/>
        </w:rPr>
        <w:t> </w:t>
      </w:r>
      <w:r>
        <w:rPr/>
        <w:t>are</w:t>
      </w:r>
      <w:r>
        <w:rPr>
          <w:spacing w:val="-29"/>
        </w:rPr>
        <w:t> </w:t>
      </w:r>
      <w:r>
        <w:rPr/>
        <w:t>proportionate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compliance</w:t>
      </w:r>
      <w:r>
        <w:rPr>
          <w:spacing w:val="-29"/>
        </w:rPr>
        <w:t> </w:t>
      </w:r>
      <w:r>
        <w:rPr/>
        <w:t>behaviours</w:t>
      </w:r>
      <w:r>
        <w:rPr>
          <w:spacing w:val="-29"/>
        </w:rPr>
        <w:t> </w:t>
      </w:r>
      <w:r>
        <w:rPr/>
        <w:t>identified</w:t>
      </w:r>
      <w:r>
        <w:rPr>
          <w:spacing w:val="-30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level of</w:t>
      </w:r>
      <w:r>
        <w:rPr>
          <w:spacing w:val="-31"/>
        </w:rPr>
        <w:t> </w:t>
      </w:r>
      <w:r>
        <w:rPr/>
        <w:t>risk</w:t>
      </w:r>
      <w:r>
        <w:rPr>
          <w:spacing w:val="-31"/>
        </w:rPr>
        <w:t> </w:t>
      </w:r>
      <w:r>
        <w:rPr/>
        <w:t>they</w:t>
      </w:r>
      <w:r>
        <w:rPr>
          <w:spacing w:val="-30"/>
        </w:rPr>
        <w:t> </w:t>
      </w:r>
      <w:r>
        <w:rPr/>
        <w:t>pose.</w:t>
      </w:r>
      <w:r>
        <w:rPr>
          <w:spacing w:val="-32"/>
        </w:rPr>
        <w:t> </w:t>
      </w:r>
      <w:r>
        <w:rPr/>
        <w:t>These</w:t>
      </w:r>
      <w:r>
        <w:rPr>
          <w:spacing w:val="-32"/>
        </w:rPr>
        <w:t> </w:t>
      </w:r>
      <w:r>
        <w:rPr/>
        <w:t>range</w:t>
      </w:r>
      <w:r>
        <w:rPr>
          <w:spacing w:val="-31"/>
        </w:rPr>
        <w:t> </w:t>
      </w:r>
      <w:r>
        <w:rPr/>
        <w:t>from,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not</w:t>
      </w:r>
      <w:r>
        <w:rPr>
          <w:spacing w:val="-32"/>
        </w:rPr>
        <w:t> </w:t>
      </w:r>
      <w:r>
        <w:rPr/>
        <w:t>limited</w:t>
      </w:r>
      <w:r>
        <w:rPr>
          <w:spacing w:val="-32"/>
        </w:rPr>
        <w:t> </w:t>
      </w:r>
      <w:r>
        <w:rPr/>
        <w:t>to,</w:t>
      </w:r>
      <w:r>
        <w:rPr>
          <w:spacing w:val="-32"/>
        </w:rPr>
        <w:t> </w:t>
      </w:r>
      <w:r>
        <w:rPr/>
        <w:t>education</w:t>
      </w:r>
      <w:r>
        <w:rPr>
          <w:spacing w:val="-33"/>
        </w:rPr>
        <w:t> </w:t>
      </w:r>
      <w:r>
        <w:rPr/>
        <w:t>and</w:t>
      </w:r>
      <w:r>
        <w:rPr>
          <w:spacing w:val="-29"/>
        </w:rPr>
        <w:t> </w:t>
      </w:r>
      <w:r>
        <w:rPr/>
        <w:t>awareness</w:t>
      </w:r>
      <w:r>
        <w:rPr>
          <w:spacing w:val="-32"/>
        </w:rPr>
        <w:t> </w:t>
      </w:r>
      <w:r>
        <w:rPr/>
        <w:t>initiatives</w:t>
      </w:r>
      <w:r>
        <w:rPr>
          <w:spacing w:val="-29"/>
        </w:rPr>
        <w:t> </w:t>
      </w:r>
      <w:r>
        <w:rPr/>
        <w:t>through</w:t>
      </w:r>
      <w:r>
        <w:rPr>
          <w:spacing w:val="-31"/>
        </w:rPr>
        <w:t> </w:t>
      </w:r>
      <w:r>
        <w:rPr/>
        <w:t>to the</w:t>
      </w:r>
      <w:r>
        <w:rPr>
          <w:spacing w:val="-19"/>
        </w:rPr>
        <w:t> </w:t>
      </w:r>
      <w:r>
        <w:rPr/>
        <w:t>issuing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administrative</w:t>
      </w:r>
      <w:r>
        <w:rPr>
          <w:spacing w:val="-17"/>
        </w:rPr>
        <w:t> </w:t>
      </w:r>
      <w:r>
        <w:rPr/>
        <w:t>penalties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prosecution</w:t>
      </w:r>
      <w:r>
        <w:rPr>
          <w:spacing w:val="-23"/>
        </w:rPr>
        <w:t> </w:t>
      </w:r>
      <w:r>
        <w:rPr/>
        <w:t>for</w:t>
      </w:r>
      <w:r>
        <w:rPr>
          <w:spacing w:val="-18"/>
        </w:rPr>
        <w:t> </w:t>
      </w:r>
      <w:r>
        <w:rPr/>
        <w:t>systemic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serious</w:t>
      </w:r>
      <w:r>
        <w:rPr>
          <w:spacing w:val="-16"/>
        </w:rPr>
        <w:t> </w:t>
      </w:r>
      <w:r>
        <w:rPr/>
        <w:t>breaches.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1" w:lineRule="auto"/>
        <w:ind w:left="855" w:right="9758"/>
      </w:pPr>
      <w:r>
        <w:rPr>
          <w:w w:val="95"/>
        </w:rPr>
        <w:t>(signed) Erin Dale</w:t>
      </w:r>
    </w:p>
    <w:p>
      <w:pPr>
        <w:pStyle w:val="BodyText"/>
        <w:spacing w:line="261" w:lineRule="auto"/>
        <w:ind w:left="855" w:right="7198"/>
      </w:pPr>
      <w:r>
        <w:rPr>
          <w:w w:val="90"/>
        </w:rPr>
        <w:t>Commander Customs Compliance </w:t>
      </w:r>
      <w:r>
        <w:rPr/>
        <w:t>Border Management Division</w:t>
      </w:r>
    </w:p>
    <w:p>
      <w:pPr>
        <w:pStyle w:val="BodyText"/>
        <w:ind w:left="855"/>
      </w:pPr>
      <w:r>
        <w:rPr/>
        <w:t>23 October 2015</w:t>
      </w:r>
    </w:p>
    <w:sectPr>
      <w:pgSz w:w="12240" w:h="15840"/>
      <w:pgMar w:top="560" w:bottom="280" w:left="3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75" w:right="1548"/>
      <w:jc w:val="center"/>
    </w:pPr>
    <w:rPr>
      <w:rFonts w:ascii="Arial" w:hAnsi="Arial" w:eastAsia="Arial" w:cs="Arial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Commonwealth penalty unit, customs notice, 2015/28</cp:keywords>
  <dc:subject>Customs Notice</dc:subject>
  <dc:title>Increase to Commonwealth penalty unit value from $170 to $180</dc:title>
  <dcterms:created xsi:type="dcterms:W3CDTF">2020-12-09T22:49:35Z</dcterms:created>
  <dcterms:modified xsi:type="dcterms:W3CDTF">2020-12-09T22:49:35Z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