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pStyle w:val="Title"/>
        <w:spacing w:before="201"/>
        <w:ind w:left="2227" w:right="1781"/>
        <w:jc w:val="center"/>
      </w:pPr>
      <w:r>
        <w:rPr/>
        <w:pict>
          <v:rect style="position:absolute;margin-left:55.919998pt;margin-top:30.381865pt;width:505.921pt;height:.48pt;mso-position-horizontal-relative:page;mso-position-vertical-relative:paragraph;z-index:-15728640;mso-wrap-distance-left:0;mso-wrap-distance-right:0" filled="true" fillcolor="#4f81bd" stroked="false">
            <v:fill type="solid"/>
            <w10:wrap type="topAndBottom"/>
          </v:rect>
        </w:pict>
      </w:r>
      <w:r>
        <w:rPr/>
        <w:t>No.2015/33</w:t>
      </w:r>
    </w:p>
    <w:p>
      <w:pPr>
        <w:pStyle w:val="BodyText"/>
        <w:spacing w:before="11"/>
        <w:rPr>
          <w:rFonts w:ascii="Arial"/>
          <w:b/>
          <w:sz w:val="13"/>
        </w:rPr>
      </w:pPr>
    </w:p>
    <w:p>
      <w:pPr>
        <w:spacing w:before="86"/>
        <w:ind w:left="2227" w:right="2202" w:firstLine="0"/>
        <w:jc w:val="center"/>
        <w:rPr>
          <w:rFonts w:ascii="TimesNewRomanPS-BoldItalicMT"/>
          <w:b/>
          <w:i/>
          <w:sz w:val="28"/>
        </w:rPr>
      </w:pPr>
      <w:bookmarkStart w:name="First Protocol to the ASEAN-Australia-Ne" w:id="1"/>
      <w:bookmarkEnd w:id="1"/>
      <w:r>
        <w:rPr/>
      </w:r>
      <w:r>
        <w:rPr>
          <w:rFonts w:ascii="TimesNewRomanPS-BoldItalicMT"/>
          <w:b/>
          <w:i/>
          <w:sz w:val="28"/>
        </w:rPr>
        <w:t>First Protocol to the ASEAN-Australia-New Zealand Free Trade Agreement</w:t>
      </w:r>
    </w:p>
    <w:p>
      <w:pPr>
        <w:spacing w:before="201"/>
        <w:ind w:left="2226" w:right="2202" w:firstLine="0"/>
        <w:jc w:val="center"/>
        <w:rPr>
          <w:rFonts w:ascii="TimesNewRomanPS-BoldItalicMT"/>
          <w:b/>
          <w:i/>
          <w:sz w:val="28"/>
        </w:rPr>
      </w:pPr>
      <w:bookmarkStart w:name="Entry into Force 1 October 2015" w:id="2"/>
      <w:bookmarkEnd w:id="2"/>
      <w:r>
        <w:rPr/>
      </w:r>
      <w:r>
        <w:rPr>
          <w:rFonts w:ascii="TimesNewRomanPS-BoldItalicMT"/>
          <w:b/>
          <w:i/>
          <w:sz w:val="28"/>
        </w:rPr>
        <w:t>Entry into Force 1 October 2015</w:t>
      </w:r>
    </w:p>
    <w:p>
      <w:pPr>
        <w:pStyle w:val="BodyText"/>
        <w:spacing w:before="8"/>
        <w:rPr>
          <w:rFonts w:ascii="TimesNewRomanPS-BoldItalicMT"/>
          <w:b/>
          <w:i/>
          <w:sz w:val="23"/>
        </w:rPr>
      </w:pPr>
    </w:p>
    <w:p>
      <w:pPr>
        <w:pStyle w:val="BodyText"/>
        <w:ind w:left="1569" w:right="1543"/>
      </w:pPr>
      <w:r>
        <w:rPr/>
        <w:t>The First Protocol (agreed amendment) to the Agreement Establishing the ASEAN– Australia–New Zealand Free Trade Area (AANZFTA) will enter into force (EIF) on 1 October 2015 for Australia, New Zealand, Brunei, Myanmar (Burma), Lao PDR, Malaysia, Philippines, Singapore, Thailand and Vietnam.</w:t>
      </w:r>
    </w:p>
    <w:p>
      <w:pPr>
        <w:pStyle w:val="BodyText"/>
        <w:spacing w:before="9"/>
        <w:rPr>
          <w:sz w:val="23"/>
        </w:rPr>
      </w:pPr>
    </w:p>
    <w:p>
      <w:pPr>
        <w:pStyle w:val="BodyText"/>
        <w:ind w:left="1569" w:right="1543"/>
      </w:pPr>
      <w:r>
        <w:rPr/>
        <w:t>Cambodia and Indonesia will advise separately when they have completed their domestic processes and their date of entry into force. A further ACN will be issued when the entry into force date for these countries is known.</w:t>
      </w:r>
    </w:p>
    <w:p>
      <w:pPr>
        <w:pStyle w:val="BodyText"/>
        <w:spacing w:before="7"/>
        <w:rPr>
          <w:sz w:val="23"/>
        </w:rPr>
      </w:pPr>
    </w:p>
    <w:p>
      <w:pPr>
        <w:pStyle w:val="BodyText"/>
        <w:ind w:left="1569"/>
      </w:pPr>
      <w:r>
        <w:rPr/>
        <w:t>For those countries for which the Protocol has entered into force, the Protocol:</w:t>
      </w:r>
    </w:p>
    <w:p>
      <w:pPr>
        <w:pStyle w:val="ListParagraph"/>
        <w:numPr>
          <w:ilvl w:val="0"/>
          <w:numId w:val="1"/>
        </w:numPr>
        <w:tabs>
          <w:tab w:pos="1929" w:val="left" w:leader="none"/>
          <w:tab w:pos="1930" w:val="left" w:leader="none"/>
        </w:tabs>
        <w:spacing w:line="240" w:lineRule="auto" w:before="83" w:after="0"/>
        <w:ind w:left="1929" w:right="0" w:hanging="361"/>
        <w:jc w:val="left"/>
        <w:rPr>
          <w:sz w:val="24"/>
        </w:rPr>
      </w:pPr>
      <w:r>
        <w:rPr>
          <w:sz w:val="24"/>
        </w:rPr>
        <w:t>removes the General Rule and places all tariffs into an Annex 2 to the</w:t>
      </w:r>
      <w:r>
        <w:rPr>
          <w:spacing w:val="-8"/>
          <w:sz w:val="24"/>
        </w:rPr>
        <w:t> </w:t>
      </w:r>
      <w:r>
        <w:rPr>
          <w:sz w:val="24"/>
        </w:rPr>
        <w:t>agreement;</w:t>
      </w:r>
    </w:p>
    <w:p>
      <w:pPr>
        <w:pStyle w:val="ListParagraph"/>
        <w:numPr>
          <w:ilvl w:val="0"/>
          <w:numId w:val="1"/>
        </w:numPr>
        <w:tabs>
          <w:tab w:pos="1929" w:val="left" w:leader="none"/>
          <w:tab w:pos="1930" w:val="left" w:leader="none"/>
        </w:tabs>
        <w:spacing w:line="237" w:lineRule="auto" w:before="18" w:after="0"/>
        <w:ind w:left="1929" w:right="982" w:hanging="360"/>
        <w:jc w:val="left"/>
        <w:rPr>
          <w:sz w:val="24"/>
        </w:rPr>
      </w:pPr>
      <w:r>
        <w:rPr>
          <w:sz w:val="24"/>
        </w:rPr>
        <w:t>removes the requirement for the free on board (FOB) value except where origin </w:t>
      </w:r>
      <w:r>
        <w:rPr>
          <w:spacing w:val="-3"/>
          <w:sz w:val="24"/>
        </w:rPr>
        <w:t>is </w:t>
      </w:r>
      <w:r>
        <w:rPr>
          <w:sz w:val="24"/>
        </w:rPr>
        <w:t>claimed </w:t>
      </w:r>
      <w:r>
        <w:rPr>
          <w:spacing w:val="2"/>
          <w:sz w:val="24"/>
        </w:rPr>
        <w:t>on </w:t>
      </w:r>
      <w:r>
        <w:rPr>
          <w:sz w:val="24"/>
        </w:rPr>
        <w:t>the basis </w:t>
      </w:r>
      <w:r>
        <w:rPr>
          <w:spacing w:val="4"/>
          <w:sz w:val="24"/>
        </w:rPr>
        <w:t>of </w:t>
      </w:r>
      <w:r>
        <w:rPr>
          <w:sz w:val="24"/>
        </w:rPr>
        <w:t>a value-added rule;</w:t>
      </w:r>
      <w:r>
        <w:rPr>
          <w:spacing w:val="-10"/>
          <w:sz w:val="24"/>
        </w:rPr>
        <w:t> </w:t>
      </w:r>
      <w:r>
        <w:rPr>
          <w:spacing w:val="-3"/>
          <w:sz w:val="24"/>
        </w:rPr>
        <w:t>and</w:t>
      </w:r>
    </w:p>
    <w:p>
      <w:pPr>
        <w:pStyle w:val="ListParagraph"/>
        <w:numPr>
          <w:ilvl w:val="0"/>
          <w:numId w:val="1"/>
        </w:numPr>
        <w:tabs>
          <w:tab w:pos="1929" w:val="left" w:leader="none"/>
          <w:tab w:pos="1930" w:val="left" w:leader="none"/>
        </w:tabs>
        <w:spacing w:line="240" w:lineRule="auto" w:before="21" w:after="0"/>
        <w:ind w:left="1929" w:right="724" w:hanging="360"/>
        <w:jc w:val="left"/>
        <w:rPr>
          <w:sz w:val="24"/>
        </w:rPr>
      </w:pPr>
      <w:r>
        <w:rPr>
          <w:sz w:val="24"/>
        </w:rPr>
        <w:t>provides for the transition to the current </w:t>
      </w:r>
      <w:r>
        <w:rPr>
          <w:spacing w:val="-3"/>
          <w:sz w:val="24"/>
        </w:rPr>
        <w:t>World </w:t>
      </w:r>
      <w:r>
        <w:rPr>
          <w:sz w:val="24"/>
        </w:rPr>
        <w:t>Customs Organization Harmonized System (HS) Nomenclature 2012, and establish a mechanism </w:t>
      </w:r>
      <w:r>
        <w:rPr>
          <w:spacing w:val="2"/>
          <w:sz w:val="24"/>
        </w:rPr>
        <w:t>to </w:t>
      </w:r>
      <w:r>
        <w:rPr>
          <w:sz w:val="24"/>
        </w:rPr>
        <w:t>more easily implement future changes to the HS.</w:t>
      </w:r>
    </w:p>
    <w:p>
      <w:pPr>
        <w:pStyle w:val="BodyText"/>
        <w:spacing w:before="7"/>
        <w:rPr>
          <w:sz w:val="23"/>
        </w:rPr>
      </w:pPr>
    </w:p>
    <w:p>
      <w:pPr>
        <w:pStyle w:val="BodyText"/>
        <w:ind w:left="1569" w:right="1596"/>
      </w:pPr>
      <w:r>
        <w:rPr/>
        <w:t>A transition period of six months applies in moving to the new arrangements and details of these changes, including guidance for business can be found on the Department of Immigration and Border Protection website </w:t>
      </w:r>
      <w:hyperlink r:id="rId6">
        <w:r>
          <w:rPr>
            <w:color w:val="0000FF"/>
            <w:u w:val="single" w:color="0000FF"/>
          </w:rPr>
          <w:t>http://www.border.gov.au/Busi/Free/ASEA</w:t>
        </w:r>
      </w:hyperlink>
      <w:r>
        <w:rPr>
          <w:color w:val="0000FF"/>
        </w:rPr>
        <w:t> </w:t>
      </w:r>
      <w:r>
        <w:rPr/>
        <w:t>and also on the Department of Foreign Affairs and Trade</w:t>
      </w:r>
    </w:p>
    <w:p>
      <w:pPr>
        <w:pStyle w:val="BodyText"/>
        <w:ind w:left="1569"/>
      </w:pPr>
      <w:r>
        <w:rPr/>
        <w:t>website </w:t>
      </w:r>
      <w:hyperlink r:id="rId7">
        <w:r>
          <w:rPr>
            <w:color w:val="0000FF"/>
            <w:u w:val="single" w:color="0000FF"/>
          </w:rPr>
          <w:t>http://dfat.gov.au/trade/agreements/aanzfta/news/Pages/news.aspx</w:t>
        </w:r>
      </w:hyperlink>
    </w:p>
    <w:p>
      <w:pPr>
        <w:pStyle w:val="BodyText"/>
        <w:spacing w:before="2"/>
        <w:rPr>
          <w:sz w:val="16"/>
        </w:rPr>
      </w:pPr>
    </w:p>
    <w:p>
      <w:pPr>
        <w:pStyle w:val="BodyText"/>
        <w:spacing w:line="242" w:lineRule="auto" w:before="90"/>
        <w:ind w:left="1569" w:right="1763"/>
      </w:pPr>
      <w:r>
        <w:rPr/>
        <w:t>Enquiries in relation to this ACN should be directed to the National Trade Advice Centre by email to: </w:t>
      </w:r>
      <w:hyperlink r:id="rId8">
        <w:r>
          <w:rPr/>
          <w:t>origin@border.gov.au</w:t>
        </w:r>
      </w:hyperlink>
    </w:p>
    <w:p>
      <w:pPr>
        <w:pStyle w:val="BodyText"/>
        <w:rPr>
          <w:sz w:val="26"/>
        </w:rPr>
      </w:pPr>
    </w:p>
    <w:p>
      <w:pPr>
        <w:pStyle w:val="BodyText"/>
        <w:rPr>
          <w:sz w:val="26"/>
        </w:rPr>
      </w:pPr>
    </w:p>
    <w:p>
      <w:pPr>
        <w:pStyle w:val="BodyText"/>
        <w:rPr>
          <w:sz w:val="26"/>
        </w:rPr>
      </w:pPr>
    </w:p>
    <w:p>
      <w:pPr>
        <w:pStyle w:val="BodyText"/>
        <w:spacing w:before="202"/>
        <w:ind w:left="1569"/>
      </w:pPr>
      <w:r>
        <w:rPr/>
        <w:t>(signed)</w:t>
      </w:r>
    </w:p>
    <w:p>
      <w:pPr>
        <w:pStyle w:val="BodyText"/>
        <w:spacing w:line="275" w:lineRule="exact" w:before="2"/>
        <w:ind w:left="1569"/>
      </w:pPr>
      <w:r>
        <w:rPr/>
        <w:t>Anita Langford</w:t>
      </w:r>
    </w:p>
    <w:p>
      <w:pPr>
        <w:pStyle w:val="BodyText"/>
        <w:ind w:left="1569" w:right="8054"/>
      </w:pPr>
      <w:r>
        <w:rPr/>
        <w:t>A/g Assistant Secretary Trade Branch CANBERRA ACT</w:t>
      </w:r>
    </w:p>
    <w:p>
      <w:pPr>
        <w:pStyle w:val="BodyText"/>
        <w:spacing w:before="122"/>
        <w:ind w:left="1569"/>
      </w:pPr>
      <w:r>
        <w:rPr/>
        <w:t>30 September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29" w:hanging="360"/>
      </w:pPr>
      <w:rPr>
        <w:rFonts w:hint="default" w:ascii="Arial" w:hAnsi="Arial" w:eastAsia="Arial" w:cs="Arial"/>
        <w:w w:val="131"/>
        <w:sz w:val="24"/>
        <w:szCs w:val="24"/>
        <w:lang w:val="en-US" w:eastAsia="en-US" w:bidi="ar-SA"/>
      </w:rPr>
    </w:lvl>
    <w:lvl w:ilvl="1">
      <w:start w:val="0"/>
      <w:numFmt w:val="bullet"/>
      <w:lvlText w:val="•"/>
      <w:lvlJc w:val="left"/>
      <w:pPr>
        <w:ind w:left="2918" w:hanging="360"/>
      </w:pPr>
      <w:rPr>
        <w:rFonts w:hint="default"/>
        <w:lang w:val="en-US" w:eastAsia="en-US" w:bidi="ar-SA"/>
      </w:rPr>
    </w:lvl>
    <w:lvl w:ilvl="2">
      <w:start w:val="0"/>
      <w:numFmt w:val="bullet"/>
      <w:lvlText w:val="•"/>
      <w:lvlJc w:val="left"/>
      <w:pPr>
        <w:ind w:left="3916" w:hanging="360"/>
      </w:pPr>
      <w:rPr>
        <w:rFonts w:hint="default"/>
        <w:lang w:val="en-US" w:eastAsia="en-US" w:bidi="ar-SA"/>
      </w:rPr>
    </w:lvl>
    <w:lvl w:ilvl="3">
      <w:start w:val="0"/>
      <w:numFmt w:val="bullet"/>
      <w:lvlText w:val="•"/>
      <w:lvlJc w:val="left"/>
      <w:pPr>
        <w:ind w:left="4915" w:hanging="360"/>
      </w:pPr>
      <w:rPr>
        <w:rFonts w:hint="default"/>
        <w:lang w:val="en-US" w:eastAsia="en-US" w:bidi="ar-SA"/>
      </w:rPr>
    </w:lvl>
    <w:lvl w:ilvl="4">
      <w:start w:val="0"/>
      <w:numFmt w:val="bullet"/>
      <w:lvlText w:val="•"/>
      <w:lvlJc w:val="left"/>
      <w:pPr>
        <w:ind w:left="5913" w:hanging="360"/>
      </w:pPr>
      <w:rPr>
        <w:rFonts w:hint="default"/>
        <w:lang w:val="en-US" w:eastAsia="en-US" w:bidi="ar-SA"/>
      </w:rPr>
    </w:lvl>
    <w:lvl w:ilvl="5">
      <w:start w:val="0"/>
      <w:numFmt w:val="bullet"/>
      <w:lvlText w:val="•"/>
      <w:lvlJc w:val="left"/>
      <w:pPr>
        <w:ind w:left="6912" w:hanging="360"/>
      </w:pPr>
      <w:rPr>
        <w:rFonts w:hint="default"/>
        <w:lang w:val="en-US" w:eastAsia="en-US" w:bidi="ar-SA"/>
      </w:rPr>
    </w:lvl>
    <w:lvl w:ilvl="6">
      <w:start w:val="0"/>
      <w:numFmt w:val="bullet"/>
      <w:lvlText w:val="•"/>
      <w:lvlJc w:val="left"/>
      <w:pPr>
        <w:ind w:left="7910" w:hanging="360"/>
      </w:pPr>
      <w:rPr>
        <w:rFonts w:hint="default"/>
        <w:lang w:val="en-US" w:eastAsia="en-US" w:bidi="ar-SA"/>
      </w:rPr>
    </w:lvl>
    <w:lvl w:ilvl="7">
      <w:start w:val="0"/>
      <w:numFmt w:val="bullet"/>
      <w:lvlText w:val="•"/>
      <w:lvlJc w:val="left"/>
      <w:pPr>
        <w:ind w:left="8908" w:hanging="360"/>
      </w:pPr>
      <w:rPr>
        <w:rFonts w:hint="default"/>
        <w:lang w:val="en-US" w:eastAsia="en-US" w:bidi="ar-SA"/>
      </w:rPr>
    </w:lvl>
    <w:lvl w:ilvl="8">
      <w:start w:val="0"/>
      <w:numFmt w:val="bullet"/>
      <w:lvlText w:val="•"/>
      <w:lvlJc w:val="left"/>
      <w:pPr>
        <w:ind w:left="990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8"/>
      <w:ind w:left="192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Free/ASEA" TargetMode="External"/><Relationship Id="rId7" Type="http://schemas.openxmlformats.org/officeDocument/2006/relationships/hyperlink" Target="http://dfat.gov.au/trade/agreements/aanzfta/news/Pages/news.aspx" TargetMode="External"/><Relationship Id="rId8" Type="http://schemas.openxmlformats.org/officeDocument/2006/relationships/hyperlink" Target="mailto:origin@border.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First Protocol to the ASEAN Australian New Zealand Free Trade Agreement, 1 October 2015</cp:keywords>
  <dc:subject>Department of Immigrataion and Border Protection Notice 2015/33</dc:subject>
  <dc:title>Department of Immigrataion and Border Protection Notice 2015/33</dc:title>
  <dcterms:created xsi:type="dcterms:W3CDTF">2020-12-09T22:57:11Z</dcterms:created>
  <dcterms:modified xsi:type="dcterms:W3CDTF">2020-12-09T22:57:11Z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2015-10-01T00:00:00Z</vt:filetime>
  </property>
  <property fmtid="{D5CDD505-2E9C-101B-9397-08002B2CF9AE}" pid="3" name="Creator">
    <vt:lpwstr>Acrobat PDFMaker 10.0 for Word</vt:lpwstr>
  </property>
  <property fmtid="{D5CDD505-2E9C-101B-9397-08002B2CF9AE}" pid="4" name="LastSaved">
    <vt:filetime>2020-12-09T00:00:00Z</vt:filetime>
  </property>
</Properties>
</file>