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9"/>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-1307449</wp:posOffset>
            </wp:positionV>
            <wp:extent cx="7559040" cy="1122052"/>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22052"/>
                    </a:xfrm>
                    <a:prstGeom prst="rect">
                      <a:avLst/>
                    </a:prstGeom>
                  </pic:spPr>
                </pic:pic>
              </a:graphicData>
            </a:graphic>
          </wp:anchor>
        </w:drawing>
      </w:r>
      <w:r>
        <w:rPr/>
        <w:t>DEPARTMENT OF IMMIGRATION AND BORDER PROTECTION NOTICE</w:t>
      </w:r>
    </w:p>
    <w:p>
      <w:pPr>
        <w:pStyle w:val="Title"/>
        <w:spacing w:before="201"/>
        <w:ind w:left="2001" w:right="1551"/>
        <w:jc w:val="cente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t>No.2015/42</w:t>
      </w:r>
    </w:p>
    <w:p>
      <w:pPr>
        <w:pStyle w:val="BodyText"/>
        <w:spacing w:before="7"/>
        <w:rPr>
          <w:rFonts w:ascii="Arial"/>
          <w:b/>
          <w:sz w:val="13"/>
        </w:rPr>
      </w:pPr>
    </w:p>
    <w:p>
      <w:pPr>
        <w:spacing w:before="90"/>
        <w:ind w:left="2001" w:right="2010" w:firstLine="0"/>
        <w:jc w:val="center"/>
        <w:rPr>
          <w:rFonts w:ascii="Arial-BoldItalicMT"/>
          <w:b/>
          <w:i/>
          <w:sz w:val="28"/>
        </w:rPr>
      </w:pPr>
      <w:r>
        <w:rPr>
          <w:rFonts w:ascii="Arial-BoldItalicMT"/>
          <w:b/>
          <w:i/>
          <w:sz w:val="28"/>
        </w:rPr>
        <w:t>Statistical Code and Duty Rate Changes for 1 January 2016</w:t>
      </w:r>
    </w:p>
    <w:p>
      <w:pPr>
        <w:pStyle w:val="BodyText"/>
        <w:spacing w:before="248"/>
        <w:ind w:left="1147"/>
      </w:pPr>
      <w:r>
        <w:rPr>
          <w:u w:val="single"/>
        </w:rPr>
        <w:t>Statistical Code Changes</w:t>
      </w:r>
    </w:p>
    <w:p>
      <w:pPr>
        <w:pStyle w:val="BodyText"/>
        <w:spacing w:before="2"/>
        <w:rPr>
          <w:sz w:val="16"/>
        </w:rPr>
      </w:pPr>
    </w:p>
    <w:p>
      <w:pPr>
        <w:pStyle w:val="BodyText"/>
        <w:spacing w:before="90"/>
        <w:ind w:left="1147" w:right="683"/>
      </w:pPr>
      <w:r>
        <w:rPr>
          <w:sz w:val="24"/>
        </w:rPr>
        <w:t>The </w:t>
      </w:r>
      <w:r>
        <w:rPr/>
        <w:t>Australian Bureau of Statistics (ABS) has advised of changes to statistical codes in the Customs Tariff Working pages, from 1 January 2016, for tariff subheadings 0406.10.00, 0406.20.00 and 0406.90.90.</w:t>
      </w:r>
    </w:p>
    <w:p>
      <w:pPr>
        <w:pStyle w:val="BodyText"/>
        <w:spacing w:line="237" w:lineRule="auto" w:before="212"/>
        <w:ind w:left="1147" w:right="1394"/>
      </w:pPr>
      <w:r>
        <w:rPr/>
        <w:t>The ABS has also advised that no changes will be made to the Australian Harmonized Export Commodity Classification on 1 January 2016.</w:t>
      </w:r>
    </w:p>
    <w:p>
      <w:pPr>
        <w:pStyle w:val="BodyText"/>
        <w:spacing w:before="208"/>
        <w:ind w:left="1147"/>
      </w:pPr>
      <w:r>
        <w:rPr>
          <w:u w:val="single"/>
        </w:rPr>
        <w:t>Reductions of duty rates under Free Trade Agreements</w:t>
      </w:r>
    </w:p>
    <w:p>
      <w:pPr>
        <w:pStyle w:val="BodyText"/>
        <w:spacing w:before="208"/>
        <w:ind w:left="1147" w:right="683"/>
      </w:pPr>
      <w:r>
        <w:rPr/>
        <w:t>Schedules 10 (Korean Originating Goods) and 12 (Chinese Originating Goods) of the </w:t>
      </w:r>
      <w:r>
        <w:rPr>
          <w:i/>
        </w:rPr>
        <w:t>Customs Tariff Act 1995 </w:t>
      </w:r>
      <w:r>
        <w:rPr/>
        <w:t>specify phasing rates of duty for certain goods including plastic products, steel and other metal products, textile, clothing and footwear goods and motor vehicles. These phasing rates of duty, set out in Schedules 10 and 12, apply to goods entered for home consumption on and after 1 January 2016.</w:t>
      </w:r>
    </w:p>
    <w:p>
      <w:pPr>
        <w:pStyle w:val="BodyText"/>
        <w:spacing w:before="207"/>
        <w:ind w:left="1147"/>
      </w:pPr>
      <w:r>
        <w:rPr>
          <w:u w:val="single"/>
        </w:rPr>
        <w:t>Enquiries</w:t>
      </w:r>
    </w:p>
    <w:p>
      <w:pPr>
        <w:pStyle w:val="BodyText"/>
        <w:rPr>
          <w:sz w:val="16"/>
        </w:rPr>
      </w:pPr>
    </w:p>
    <w:p>
      <w:pPr>
        <w:spacing w:after="0"/>
        <w:rPr>
          <w:sz w:val="16"/>
        </w:rPr>
        <w:sectPr>
          <w:type w:val="continuous"/>
          <w:pgSz w:w="11910" w:h="16840"/>
          <w:pgMar w:top="580" w:bottom="280" w:left="0" w:right="0"/>
        </w:sectPr>
      </w:pPr>
    </w:p>
    <w:p>
      <w:pPr>
        <w:pStyle w:val="BodyText"/>
        <w:spacing w:before="92"/>
        <w:ind w:left="1147"/>
      </w:pPr>
      <w:r>
        <w:rPr>
          <w:u w:val="single"/>
        </w:rPr>
        <w:t>Customs Tariff</w:t>
      </w:r>
    </w:p>
    <w:p>
      <w:pPr>
        <w:pStyle w:val="BodyText"/>
        <w:spacing w:before="208"/>
        <w:ind w:left="1147" w:right="2339"/>
      </w:pPr>
      <w:r>
        <w:rPr/>
        <w:t>Assistant Director Trade Policy</w:t>
      </w:r>
    </w:p>
    <w:p>
      <w:pPr>
        <w:pStyle w:val="BodyText"/>
        <w:ind w:left="1147" w:right="-14"/>
      </w:pPr>
      <w:r>
        <w:rPr/>
        <w:t>Department </w:t>
      </w:r>
      <w:r>
        <w:rPr>
          <w:spacing w:val="-3"/>
        </w:rPr>
        <w:t>of </w:t>
      </w:r>
      <w:r>
        <w:rPr/>
        <w:t>Immigration and Border Protection Email: </w:t>
      </w:r>
      <w:hyperlink r:id="rId6">
        <w:r>
          <w:rPr>
            <w:color w:val="0000FF"/>
            <w:u w:val="single" w:color="0000FF"/>
          </w:rPr>
          <w:t>tariff@border.gov.au</w:t>
        </w:r>
      </w:hyperlink>
    </w:p>
    <w:p>
      <w:pPr>
        <w:pStyle w:val="BodyText"/>
        <w:spacing w:before="92"/>
        <w:ind w:left="480"/>
      </w:pPr>
      <w:r>
        <w:rPr/>
        <w:br w:type="column"/>
      </w:r>
      <w:r>
        <w:rPr>
          <w:u w:val="single"/>
        </w:rPr>
        <w:t>Statistical Codes</w:t>
      </w:r>
    </w:p>
    <w:p>
      <w:pPr>
        <w:pStyle w:val="BodyText"/>
        <w:spacing w:before="208"/>
        <w:ind w:left="509"/>
      </w:pPr>
      <w:r>
        <w:rPr/>
        <w:t>Classification Manager</w:t>
      </w:r>
    </w:p>
    <w:p>
      <w:pPr>
        <w:pStyle w:val="BodyText"/>
        <w:spacing w:line="237" w:lineRule="auto" w:before="3"/>
        <w:ind w:left="509" w:right="1331"/>
      </w:pPr>
      <w:r>
        <w:rPr/>
        <w:t>International Trade in Goods and Services Section Australian Bureau of Statistics</w:t>
      </w:r>
    </w:p>
    <w:p>
      <w:pPr>
        <w:pStyle w:val="BodyText"/>
        <w:spacing w:before="1"/>
        <w:ind w:left="509"/>
      </w:pPr>
      <w:r>
        <w:rPr/>
        <w:t>Email: </w:t>
      </w:r>
      <w:hyperlink r:id="rId7">
        <w:r>
          <w:rPr>
            <w:color w:val="0000FF"/>
            <w:u w:val="single" w:color="0000FF"/>
          </w:rPr>
          <w:t>international.trade@abs.gov.au</w:t>
        </w:r>
      </w:hyperlink>
    </w:p>
    <w:p>
      <w:pPr>
        <w:spacing w:after="0"/>
        <w:sectPr>
          <w:type w:val="continuous"/>
          <w:pgSz w:w="11910" w:h="16840"/>
          <w:pgMar w:top="580" w:bottom="280" w:left="0" w:right="0"/>
          <w:cols w:num="2" w:equalWidth="0">
            <w:col w:w="5574" w:space="40"/>
            <w:col w:w="6296"/>
          </w:cols>
        </w:sectPr>
      </w:pPr>
    </w:p>
    <w:p>
      <w:pPr>
        <w:pStyle w:val="BodyText"/>
        <w:rPr>
          <w:sz w:val="20"/>
        </w:rPr>
      </w:pPr>
    </w:p>
    <w:p>
      <w:pPr>
        <w:pStyle w:val="BodyText"/>
        <w:spacing w:before="4"/>
        <w:rPr>
          <w:sz w:val="29"/>
        </w:rPr>
      </w:pPr>
    </w:p>
    <w:p>
      <w:pPr>
        <w:pStyle w:val="BodyText"/>
        <w:spacing w:before="91"/>
        <w:ind w:left="1147"/>
      </w:pPr>
      <w:r>
        <w:rPr>
          <w:u w:val="single"/>
        </w:rPr>
        <w:t>Tariff Reprint Pages</w:t>
      </w:r>
    </w:p>
    <w:p>
      <w:pPr>
        <w:pStyle w:val="BodyText"/>
        <w:spacing w:before="2"/>
        <w:rPr>
          <w:sz w:val="16"/>
        </w:rPr>
      </w:pPr>
    </w:p>
    <w:p>
      <w:pPr>
        <w:pStyle w:val="Heading1"/>
        <w:spacing w:before="90"/>
      </w:pPr>
      <w:r>
        <w:rPr>
          <w:u w:val="single"/>
        </w:rPr>
        <w:t>Schedule 3</w:t>
      </w:r>
    </w:p>
    <w:p>
      <w:pPr>
        <w:pStyle w:val="BodyText"/>
        <w:tabs>
          <w:tab w:pos="3490" w:val="left" w:leader="none"/>
        </w:tabs>
        <w:spacing w:line="252" w:lineRule="exact"/>
        <w:ind w:left="1147"/>
      </w:pPr>
      <w:r>
        <w:rPr/>
        <w:t>4/3</w:t>
      </w:r>
      <w:r>
        <w:rPr>
          <w:spacing w:val="1"/>
        </w:rPr>
        <w:t> </w:t>
      </w:r>
      <w:r>
        <w:rPr/>
        <w:t>(R.6)</w:t>
        <w:tab/>
        <w:t>4/5</w:t>
      </w:r>
      <w:r>
        <w:rPr>
          <w:spacing w:val="-3"/>
        </w:rPr>
        <w:t> </w:t>
      </w:r>
      <w:r>
        <w:rPr/>
        <w:t>(R.9)</w:t>
      </w:r>
    </w:p>
    <w:p>
      <w:pPr>
        <w:pStyle w:val="BodyText"/>
        <w:spacing w:before="1"/>
        <w:rPr>
          <w:sz w:val="26"/>
        </w:rPr>
      </w:pPr>
    </w:p>
    <w:p>
      <w:pPr>
        <w:pStyle w:val="Heading1"/>
        <w:spacing w:line="240" w:lineRule="auto"/>
      </w:pPr>
      <w:r>
        <w:rPr>
          <w:u w:val="single"/>
        </w:rPr>
        <w:t>New Schedule 12</w:t>
      </w:r>
    </w:p>
    <w:p>
      <w:pPr>
        <w:pStyle w:val="BodyText"/>
        <w:spacing w:before="2"/>
        <w:ind w:left="1147"/>
      </w:pPr>
      <w:r>
        <w:rPr/>
        <w:t>12/1 to 12/46</w:t>
      </w:r>
    </w:p>
    <w:p>
      <w:pPr>
        <w:pStyle w:val="BodyText"/>
        <w:spacing w:before="10"/>
        <w:rPr>
          <w:sz w:val="23"/>
        </w:rPr>
      </w:pPr>
    </w:p>
    <w:p>
      <w:pPr>
        <w:pStyle w:val="BodyText"/>
        <w:ind w:left="1147" w:right="683"/>
      </w:pPr>
      <w:r>
        <w:rPr/>
        <w:t>The above tariff pages will be issued in the week commencing 21 December 2015. These pages will also be available on the Department of Immigration and Border Protection website at </w:t>
      </w:r>
      <w:hyperlink r:id="rId8">
        <w:r>
          <w:rPr>
            <w:color w:val="0000FF"/>
            <w:u w:val="single" w:color="0000FF"/>
          </w:rPr>
          <w:t>www.border.gov.au</w:t>
        </w:r>
      </w:hyperlink>
    </w:p>
    <w:p>
      <w:pPr>
        <w:pStyle w:val="BodyText"/>
        <w:rPr>
          <w:sz w:val="20"/>
        </w:rPr>
      </w:pPr>
    </w:p>
    <w:p>
      <w:pPr>
        <w:pStyle w:val="BodyText"/>
        <w:rPr>
          <w:sz w:val="20"/>
        </w:rPr>
      </w:pPr>
    </w:p>
    <w:p>
      <w:pPr>
        <w:pStyle w:val="BodyText"/>
        <w:spacing w:before="4"/>
        <w:rPr>
          <w:sz w:val="24"/>
        </w:rPr>
      </w:pPr>
    </w:p>
    <w:p>
      <w:pPr>
        <w:pStyle w:val="Heading1"/>
        <w:spacing w:before="90"/>
      </w:pPr>
      <w:r>
        <w:rPr/>
        <w:t>(signed)</w:t>
      </w:r>
    </w:p>
    <w:p>
      <w:pPr>
        <w:spacing w:line="275" w:lineRule="exact" w:before="0"/>
        <w:ind w:left="1147" w:right="0" w:firstLine="0"/>
        <w:jc w:val="left"/>
        <w:rPr>
          <w:sz w:val="24"/>
        </w:rPr>
      </w:pPr>
      <w:r>
        <w:rPr>
          <w:sz w:val="24"/>
        </w:rPr>
        <w:t>Christie Sawzuck</w:t>
      </w:r>
    </w:p>
    <w:p>
      <w:pPr>
        <w:pStyle w:val="Heading1"/>
        <w:spacing w:line="240" w:lineRule="auto" w:before="2"/>
        <w:ind w:right="8123"/>
      </w:pPr>
      <w:r>
        <w:rPr/>
        <w:t>A/g Assistant Secretary Trade and Customs Branch 16 December 2015</w:t>
      </w:r>
    </w:p>
    <w:sectPr>
      <w:type w:val="continuous"/>
      <w:pgSz w:w="11910" w:h="16840"/>
      <w:pgMar w:top="5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au" w:eastAsia="en-US" w:bidi="ar-SA"/>
    </w:rPr>
  </w:style>
  <w:style w:styleId="Heading1" w:type="paragraph">
    <w:name w:val="Heading 1"/>
    <w:basedOn w:val="Normal"/>
    <w:uiPriority w:val="1"/>
    <w:qFormat/>
    <w:pPr>
      <w:spacing w:line="275" w:lineRule="exact"/>
      <w:ind w:left="1147"/>
      <w:outlineLvl w:val="1"/>
    </w:pPr>
    <w:rPr>
      <w:rFonts w:ascii="Times New Roman" w:hAnsi="Times New Roman" w:eastAsia="Times New Roman" w:cs="Times New Roman"/>
      <w:sz w:val="24"/>
      <w:szCs w:val="24"/>
      <w:lang w:val="en-au" w:eastAsia="en-US" w:bidi="ar-SA"/>
    </w:rPr>
  </w:style>
  <w:style w:styleId="Title" w:type="paragraph">
    <w:name w:val="Title"/>
    <w:basedOn w:val="Normal"/>
    <w:uiPriority w:val="1"/>
    <w:qFormat/>
    <w:pPr>
      <w:spacing w:before="90"/>
      <w:ind w:left="1238"/>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tariff@border.gov.au" TargetMode="External"/><Relationship Id="rId7" Type="http://schemas.openxmlformats.org/officeDocument/2006/relationships/hyperlink" Target="mailto:international.trade@abs.gov.au" TargetMode="External"/><Relationship Id="rId8" Type="http://schemas.openxmlformats.org/officeDocument/2006/relationships/hyperlink" Target="http://www.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DIBP</dc:creator>
  <cp:keywords>Statistical code duty rate</cp:keywords>
  <dc:subject>ACN</dc:subject>
  <dc:title>Statistical code and duty rate changes for 1 January 2016</dc:title>
  <dcterms:created xsi:type="dcterms:W3CDTF">2020-12-09T23:22:37Z</dcterms:created>
  <dcterms:modified xsi:type="dcterms:W3CDTF">2020-12-09T23:22:37Z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2015-12-17T00:00:00Z</vt:filetime>
  </property>
  <property fmtid="{D5CDD505-2E9C-101B-9397-08002B2CF9AE}" pid="3" name="LastSaved">
    <vt:filetime>2020-12-09T00:00:00Z</vt:filetime>
  </property>
</Properties>
</file>