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Department of Immigration and Border Protection brand mark."/>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2478" w:right="20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2016/11</w:t>
      </w:r>
    </w:p>
    <w:p>
      <w:pPr>
        <w:pStyle w:val="BodyText"/>
        <w:spacing w:before="2"/>
        <w:rPr>
          <w:b/>
          <w:sz w:val="13"/>
        </w:rPr>
      </w:pPr>
    </w:p>
    <w:p>
      <w:pPr>
        <w:pStyle w:val="Heading1"/>
        <w:ind w:right="2482"/>
      </w:pPr>
      <w:r>
        <w:rPr/>
        <w:t>Revised timeframe for the customs licensing review</w:t>
      </w:r>
    </w:p>
    <w:p>
      <w:pPr>
        <w:pStyle w:val="BodyText"/>
        <w:spacing w:before="9"/>
        <w:rPr>
          <w:b/>
          <w:sz w:val="24"/>
        </w:rPr>
      </w:pPr>
    </w:p>
    <w:p>
      <w:pPr>
        <w:pStyle w:val="BodyText"/>
        <w:spacing w:before="1"/>
        <w:ind w:left="720" w:right="875"/>
      </w:pPr>
      <w:r>
        <w:rPr/>
        <w:t>On 2 November 2015, the Department of Immigration and Border Protection (the Department) announced a comprehensive public review of all customs licensing regimes provided for under the </w:t>
      </w:r>
      <w:r>
        <w:rPr>
          <w:i/>
        </w:rPr>
        <w:t>Customs Act 1901</w:t>
      </w:r>
      <w:r>
        <w:rPr/>
        <w:t>, that is, customs broker, depot and warehouse licences. See </w:t>
      </w:r>
      <w:hyperlink r:id="rId6">
        <w:r>
          <w:rPr>
            <w:color w:val="0000FF"/>
            <w:u w:val="single" w:color="0000FF"/>
          </w:rPr>
          <w:t>Australian Customs Notice 2015/35</w:t>
        </w:r>
        <w:r>
          <w:rPr>
            <w:color w:val="0000FF"/>
          </w:rPr>
          <w:t> </w:t>
        </w:r>
      </w:hyperlink>
      <w:r>
        <w:rPr/>
        <w:t>for more information on the Review.</w:t>
      </w:r>
    </w:p>
    <w:p>
      <w:pPr>
        <w:pStyle w:val="BodyText"/>
        <w:spacing w:before="184"/>
        <w:ind w:left="720" w:right="819"/>
      </w:pPr>
      <w:r>
        <w:rPr/>
        <w:t>We released the terms of reference and a discussion paper on the </w:t>
      </w:r>
      <w:hyperlink r:id="rId7">
        <w:r>
          <w:rPr>
            <w:color w:val="0000FF"/>
            <w:u w:val="single" w:color="0000FF"/>
          </w:rPr>
          <w:t>Submissions and discussion papers</w:t>
        </w:r>
        <w:r>
          <w:rPr>
            <w:color w:val="0000FF"/>
          </w:rPr>
          <w:t> </w:t>
        </w:r>
      </w:hyperlink>
      <w:r>
        <w:rPr/>
        <w:t>webpage and included a timeframe for conducting the Review. The initial timeframes indicated the draft recommendations will be released in mid-April 2016 and the final recommendations will be released by 30 June 2016.</w:t>
      </w:r>
    </w:p>
    <w:p>
      <w:pPr>
        <w:pStyle w:val="BodyText"/>
        <w:spacing w:before="9"/>
        <w:rPr>
          <w:sz w:val="19"/>
        </w:rPr>
      </w:pPr>
    </w:p>
    <w:p>
      <w:pPr>
        <w:pStyle w:val="BodyText"/>
        <w:ind w:left="720" w:right="842"/>
      </w:pPr>
      <w:r>
        <w:rPr/>
        <w:t>We have received 37 submissions raising a large number of issues and expressing varying views. We appreciate the input received from stakeholders and are looking forward to further collaboration and working through the complex information.</w:t>
      </w:r>
    </w:p>
    <w:p>
      <w:pPr>
        <w:pStyle w:val="BodyText"/>
        <w:spacing w:before="2"/>
      </w:pPr>
    </w:p>
    <w:p>
      <w:pPr>
        <w:pStyle w:val="BodyText"/>
        <w:ind w:left="720" w:right="1287"/>
      </w:pPr>
      <w:r>
        <w:rPr/>
        <w:t>Therefore, we have extended the timeframes originally published in the Terms of Reference. The draft recommendations will now be released on 11 July 2016 and the final report will be submitted to the Comptroller- General of Customs on 31 August 2016.</w:t>
      </w:r>
    </w:p>
    <w:p>
      <w:pPr>
        <w:pStyle w:val="BodyText"/>
        <w:spacing w:before="1"/>
      </w:pPr>
    </w:p>
    <w:p>
      <w:pPr>
        <w:pStyle w:val="BodyText"/>
        <w:ind w:left="720" w:right="909"/>
      </w:pPr>
      <w:r>
        <w:rPr/>
        <w:t>The extended timeframe will allow us to better address the wide range of complex issues and recommendations in a comprehensive manner. This will provide both industry and us with further opportunities to collaborate on recommendations.</w:t>
      </w:r>
    </w:p>
    <w:p>
      <w:pPr>
        <w:pStyle w:val="BodyText"/>
        <w:spacing w:before="9"/>
        <w:rPr>
          <w:sz w:val="19"/>
        </w:rPr>
      </w:pPr>
    </w:p>
    <w:p>
      <w:pPr>
        <w:pStyle w:val="BodyText"/>
        <w:ind w:left="720" w:right="3443"/>
      </w:pPr>
      <w:r>
        <w:rPr/>
        <w:t>Any queries regarding the Review including the revised timeframe should be emailed to </w:t>
      </w:r>
      <w:hyperlink r:id="rId8">
        <w:r>
          <w:rPr>
            <w:color w:val="0000FF"/>
            <w:u w:val="single" w:color="0000FF"/>
          </w:rPr>
          <w:t>licensingreview@border.gov.au.</w:t>
        </w:r>
      </w:hyperlink>
    </w:p>
    <w:p>
      <w:pPr>
        <w:pStyle w:val="BodyText"/>
        <w:rPr>
          <w:sz w:val="24"/>
        </w:rPr>
      </w:pPr>
    </w:p>
    <w:p>
      <w:pPr>
        <w:pStyle w:val="BodyText"/>
        <w:spacing w:before="95"/>
        <w:ind w:left="720"/>
      </w:pPr>
      <w:r>
        <w:rPr/>
        <w:t>[signed]</w:t>
      </w:r>
    </w:p>
    <w:p>
      <w:pPr>
        <w:pStyle w:val="BodyText"/>
        <w:rPr>
          <w:sz w:val="22"/>
        </w:rPr>
      </w:pPr>
    </w:p>
    <w:p>
      <w:pPr>
        <w:pStyle w:val="BodyText"/>
        <w:rPr>
          <w:sz w:val="22"/>
        </w:rPr>
      </w:pPr>
    </w:p>
    <w:p>
      <w:pPr>
        <w:pStyle w:val="BodyText"/>
        <w:spacing w:before="11"/>
        <w:rPr>
          <w:sz w:val="19"/>
        </w:rPr>
      </w:pPr>
    </w:p>
    <w:p>
      <w:pPr>
        <w:pStyle w:val="BodyText"/>
        <w:ind w:left="720" w:right="9002"/>
      </w:pPr>
      <w:r>
        <w:rPr/>
        <w:t>Suzie </w:t>
      </w:r>
      <w:r>
        <w:rPr>
          <w:spacing w:val="-3"/>
        </w:rPr>
        <w:t>Nermutova </w:t>
      </w:r>
      <w:r>
        <w:rPr/>
        <w:t>Director</w:t>
      </w:r>
    </w:p>
    <w:p>
      <w:pPr>
        <w:pStyle w:val="BodyText"/>
        <w:spacing w:before="1"/>
        <w:ind w:left="720" w:right="7813"/>
      </w:pPr>
      <w:r>
        <w:rPr/>
        <w:t>Ports Policy Section, Traveller Branch CANBERRA ACT</w:t>
      </w:r>
    </w:p>
    <w:p>
      <w:pPr>
        <w:pStyle w:val="BodyText"/>
        <w:spacing w:before="1"/>
      </w:pPr>
    </w:p>
    <w:p>
      <w:pPr>
        <w:pStyle w:val="BodyText"/>
        <w:ind w:left="720"/>
      </w:pPr>
      <w:r>
        <w:rPr/>
        <w:t>14 April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90"/>
      <w:ind w:left="2478"/>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Customsnotices/Documents/2015-35.pdf" TargetMode="External"/><Relationship Id="rId7" Type="http://schemas.openxmlformats.org/officeDocument/2006/relationships/hyperlink" Target="http://www.border.gov.au/about/reports-publications/discussion-papers-submissions" TargetMode="External"/><Relationship Id="rId8" Type="http://schemas.openxmlformats.org/officeDocument/2006/relationships/hyperlink" Target="mailto:licensingreview@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customs, licensing, customs licensing, customs broker, depot and warehouse licences</cp:keywords>
  <dc:subject>Revised timeframe for the customs licensing review</dc:subject>
  <dc:title>Department of Immigration and Border Protection Notice </dc:title>
  <dcterms:created xsi:type="dcterms:W3CDTF">2020-12-09T23:15:50Z</dcterms:created>
  <dcterms:modified xsi:type="dcterms:W3CDTF">2020-12-09T23:15:50Z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LastSaved">
    <vt:filetime>2020-12-09T00:00:00Z</vt:filetime>
  </property>
</Properties>
</file>