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-1293329</wp:posOffset>
            </wp:positionV>
            <wp:extent cx="7559014" cy="111065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t>DEPARTMENT OF IMMIGRATION AND BORDER PROTECTION NOTICE</w:t>
      </w:r>
    </w:p>
    <w:p>
      <w:pPr>
        <w:pStyle w:val="Title"/>
        <w:spacing w:before="201"/>
        <w:ind w:left="3242" w:right="2796"/>
        <w:jc w:val="center"/>
      </w:pPr>
      <w:r>
        <w:rPr/>
        <w:pict>
          <v:rect style="position:absolute;margin-left:55.919998pt;margin-top:30.381865pt;width:505.921pt;height:.48pt;mso-position-horizontal-relative:page;mso-position-vertical-relative:paragraph;z-index:-15728640;mso-wrap-distance-left:0;mso-wrap-distance-right:0" filled="true" fillcolor="#4f81bd" stroked="false">
            <v:fill type="solid"/>
            <w10:wrap type="topAndBottom"/>
          </v:rect>
        </w:pict>
      </w:r>
      <w:r>
        <w:rPr/>
        <w:t>No.2016/18</w:t>
      </w:r>
    </w:p>
    <w:p>
      <w:pPr>
        <w:pStyle w:val="BodyText"/>
        <w:spacing w:before="7"/>
        <w:rPr>
          <w:rFonts w:ascii="Arial"/>
          <w:b/>
          <w:sz w:val="13"/>
        </w:rPr>
      </w:pPr>
    </w:p>
    <w:p>
      <w:pPr>
        <w:spacing w:before="89"/>
        <w:ind w:left="3242" w:right="3242" w:firstLine="0"/>
        <w:jc w:val="center"/>
        <w:rPr>
          <w:rFonts w:ascii="Arial-BoldItalicMT"/>
          <w:b/>
          <w:i/>
          <w:sz w:val="28"/>
        </w:rPr>
      </w:pPr>
      <w:r>
        <w:rPr>
          <w:rFonts w:ascii="Arial-BoldItalicMT"/>
          <w:b/>
          <w:i/>
          <w:sz w:val="28"/>
        </w:rPr>
        <w:t>Statistical Code Changes for 1 July 2016</w:t>
      </w:r>
    </w:p>
    <w:p>
      <w:pPr>
        <w:pStyle w:val="BodyText"/>
        <w:spacing w:before="250"/>
        <w:ind w:left="1147" w:right="478"/>
      </w:pPr>
      <w:r>
        <w:rPr/>
        <w:t>The Australian Bureau of Statistics (ABS) has advised changes to the statistical codes for tariff subheadings 1902.19.00 and 1902.30.00 to clarify the reporting of certain noodles. The new statistical codes will be operational from 1 July 2016.</w:t>
      </w:r>
    </w:p>
    <w:p>
      <w:pPr>
        <w:pStyle w:val="BodyText"/>
        <w:spacing w:before="8"/>
      </w:pP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600"/>
        <w:gridCol w:w="456"/>
        <w:gridCol w:w="3230"/>
        <w:gridCol w:w="566"/>
        <w:gridCol w:w="456"/>
        <w:gridCol w:w="3370"/>
      </w:tblGrid>
      <w:tr>
        <w:trPr>
          <w:trHeight w:val="551" w:hRule="atLeast"/>
        </w:trPr>
        <w:tc>
          <w:tcPr>
            <w:tcW w:w="1382" w:type="dxa"/>
          </w:tcPr>
          <w:p>
            <w:pPr>
              <w:pStyle w:val="TableParagraph"/>
              <w:spacing w:line="268" w:lineRule="exact"/>
              <w:ind w:left="105"/>
              <w:rPr>
                <w:sz w:val="24"/>
              </w:rPr>
            </w:pPr>
            <w:r>
              <w:rPr>
                <w:sz w:val="24"/>
              </w:rPr>
              <w:t>Tariff</w:t>
            </w:r>
          </w:p>
          <w:p>
            <w:pPr>
              <w:pStyle w:val="TableParagraph"/>
              <w:spacing w:line="261" w:lineRule="exact" w:before="2"/>
              <w:ind w:left="105"/>
              <w:rPr>
                <w:sz w:val="24"/>
              </w:rPr>
            </w:pPr>
            <w:r>
              <w:rPr>
                <w:sz w:val="24"/>
              </w:rPr>
              <w:t>Subheading</w:t>
            </w:r>
          </w:p>
        </w:tc>
        <w:tc>
          <w:tcPr>
            <w:tcW w:w="4286" w:type="dxa"/>
            <w:gridSpan w:val="3"/>
          </w:tcPr>
          <w:p>
            <w:pPr>
              <w:pStyle w:val="TableParagraph"/>
              <w:spacing w:line="268" w:lineRule="exact"/>
              <w:ind w:left="105"/>
              <w:rPr>
                <w:sz w:val="24"/>
              </w:rPr>
            </w:pPr>
            <w:r>
              <w:rPr>
                <w:sz w:val="24"/>
              </w:rPr>
              <w:t>Current statistical code, unit and</w:t>
            </w:r>
          </w:p>
          <w:p>
            <w:pPr>
              <w:pStyle w:val="TableParagraph"/>
              <w:spacing w:line="261" w:lineRule="exact" w:before="2"/>
              <w:ind w:left="105"/>
              <w:rPr>
                <w:sz w:val="24"/>
              </w:rPr>
            </w:pPr>
            <w:r>
              <w:rPr>
                <w:sz w:val="24"/>
              </w:rPr>
              <w:t>description</w:t>
            </w:r>
          </w:p>
        </w:tc>
        <w:tc>
          <w:tcPr>
            <w:tcW w:w="4392" w:type="dxa"/>
            <w:gridSpan w:val="3"/>
          </w:tcPr>
          <w:p>
            <w:pPr>
              <w:pStyle w:val="TableParagraph"/>
              <w:spacing w:line="268" w:lineRule="exact"/>
              <w:ind w:left="106"/>
              <w:rPr>
                <w:sz w:val="24"/>
              </w:rPr>
            </w:pPr>
            <w:r>
              <w:rPr>
                <w:sz w:val="24"/>
              </w:rPr>
              <w:t>Post 1 July 2016 statistical code, unit and</w:t>
            </w:r>
          </w:p>
          <w:p>
            <w:pPr>
              <w:pStyle w:val="TableParagraph"/>
              <w:spacing w:line="261" w:lineRule="exact" w:before="2"/>
              <w:ind w:left="106"/>
              <w:rPr>
                <w:sz w:val="24"/>
              </w:rPr>
            </w:pPr>
            <w:r>
              <w:rPr>
                <w:sz w:val="24"/>
              </w:rPr>
              <w:t>description</w:t>
            </w:r>
          </w:p>
        </w:tc>
      </w:tr>
      <w:tr>
        <w:trPr>
          <w:trHeight w:val="277" w:hRule="atLeast"/>
        </w:trPr>
        <w:tc>
          <w:tcPr>
            <w:tcW w:w="1382" w:type="dxa"/>
            <w:vMerge w:val="restart"/>
          </w:tcPr>
          <w:p>
            <w:pPr>
              <w:pStyle w:val="TableParagraph"/>
              <w:spacing w:line="268" w:lineRule="exact"/>
              <w:ind w:left="105"/>
              <w:rPr>
                <w:sz w:val="24"/>
              </w:rPr>
            </w:pPr>
            <w:r>
              <w:rPr>
                <w:sz w:val="24"/>
              </w:rPr>
              <w:t>1902.19.00</w:t>
            </w:r>
          </w:p>
        </w:tc>
        <w:tc>
          <w:tcPr>
            <w:tcW w:w="600" w:type="dxa"/>
          </w:tcPr>
          <w:p>
            <w:pPr>
              <w:pStyle w:val="TableParagraph"/>
              <w:ind w:left="105"/>
              <w:rPr>
                <w:sz w:val="24"/>
              </w:rPr>
            </w:pPr>
            <w:r>
              <w:rPr>
                <w:sz w:val="24"/>
              </w:rPr>
              <w:t>38</w:t>
            </w:r>
          </w:p>
        </w:tc>
        <w:tc>
          <w:tcPr>
            <w:tcW w:w="456" w:type="dxa"/>
          </w:tcPr>
          <w:p>
            <w:pPr>
              <w:pStyle w:val="TableParagraph"/>
              <w:ind w:right="93"/>
              <w:jc w:val="right"/>
              <w:rPr>
                <w:sz w:val="24"/>
              </w:rPr>
            </w:pPr>
            <w:r>
              <w:rPr>
                <w:sz w:val="24"/>
              </w:rPr>
              <w:t>kg</w:t>
            </w:r>
          </w:p>
        </w:tc>
        <w:tc>
          <w:tcPr>
            <w:tcW w:w="3230" w:type="dxa"/>
          </w:tcPr>
          <w:p>
            <w:pPr>
              <w:pStyle w:val="TableParagraph"/>
              <w:ind w:left="110"/>
              <w:rPr>
                <w:sz w:val="24"/>
              </w:rPr>
            </w:pPr>
            <w:r>
              <w:rPr>
                <w:sz w:val="24"/>
              </w:rPr>
              <w:t>Instant and ramen noodles</w:t>
            </w:r>
          </w:p>
        </w:tc>
        <w:tc>
          <w:tcPr>
            <w:tcW w:w="566" w:type="dxa"/>
          </w:tcPr>
          <w:p>
            <w:pPr>
              <w:pStyle w:val="TableParagraph"/>
              <w:ind w:left="87" w:right="188"/>
              <w:jc w:val="center"/>
              <w:rPr>
                <w:sz w:val="24"/>
              </w:rPr>
            </w:pPr>
            <w:r>
              <w:rPr>
                <w:sz w:val="24"/>
              </w:rPr>
              <w:t>34</w:t>
            </w:r>
          </w:p>
        </w:tc>
        <w:tc>
          <w:tcPr>
            <w:tcW w:w="456" w:type="dxa"/>
          </w:tcPr>
          <w:p>
            <w:pPr>
              <w:pStyle w:val="TableParagraph"/>
              <w:ind w:right="92"/>
              <w:jc w:val="right"/>
              <w:rPr>
                <w:sz w:val="24"/>
              </w:rPr>
            </w:pPr>
            <w:r>
              <w:rPr>
                <w:sz w:val="24"/>
              </w:rPr>
              <w:t>kg</w:t>
            </w:r>
          </w:p>
        </w:tc>
        <w:tc>
          <w:tcPr>
            <w:tcW w:w="3370" w:type="dxa"/>
          </w:tcPr>
          <w:p>
            <w:pPr>
              <w:pStyle w:val="TableParagraph"/>
              <w:ind w:left="111"/>
              <w:rPr>
                <w:sz w:val="24"/>
              </w:rPr>
            </w:pPr>
            <w:r>
              <w:rPr>
                <w:sz w:val="24"/>
              </w:rPr>
              <w:t>Fresh ramen noodles</w:t>
            </w:r>
          </w:p>
        </w:tc>
      </w:tr>
      <w:tr>
        <w:trPr>
          <w:trHeight w:val="273" w:hRule="atLeast"/>
        </w:trPr>
        <w:tc>
          <w:tcPr>
            <w:tcW w:w="1382" w:type="dxa"/>
            <w:vMerge/>
            <w:tcBorders>
              <w:top w:val="nil"/>
            </w:tcBorders>
          </w:tcPr>
          <w:p>
            <w:pPr>
              <w:rPr>
                <w:sz w:val="2"/>
                <w:szCs w:val="2"/>
              </w:rPr>
            </w:pPr>
          </w:p>
        </w:tc>
        <w:tc>
          <w:tcPr>
            <w:tcW w:w="600" w:type="dxa"/>
          </w:tcPr>
          <w:p>
            <w:pPr>
              <w:pStyle w:val="TableParagraph"/>
              <w:spacing w:line="253" w:lineRule="exact"/>
              <w:ind w:left="105"/>
              <w:rPr>
                <w:sz w:val="24"/>
              </w:rPr>
            </w:pPr>
            <w:r>
              <w:rPr>
                <w:sz w:val="24"/>
              </w:rPr>
              <w:t>39</w:t>
            </w:r>
          </w:p>
        </w:tc>
        <w:tc>
          <w:tcPr>
            <w:tcW w:w="456" w:type="dxa"/>
          </w:tcPr>
          <w:p>
            <w:pPr>
              <w:pStyle w:val="TableParagraph"/>
              <w:spacing w:line="253" w:lineRule="exact"/>
              <w:ind w:right="93"/>
              <w:jc w:val="right"/>
              <w:rPr>
                <w:sz w:val="24"/>
              </w:rPr>
            </w:pPr>
            <w:r>
              <w:rPr>
                <w:sz w:val="24"/>
              </w:rPr>
              <w:t>kg</w:t>
            </w:r>
          </w:p>
        </w:tc>
        <w:tc>
          <w:tcPr>
            <w:tcW w:w="3230" w:type="dxa"/>
          </w:tcPr>
          <w:p>
            <w:pPr>
              <w:pStyle w:val="TableParagraph"/>
              <w:spacing w:line="253" w:lineRule="exact"/>
              <w:ind w:left="110"/>
              <w:rPr>
                <w:sz w:val="24"/>
              </w:rPr>
            </w:pPr>
            <w:r>
              <w:rPr>
                <w:sz w:val="24"/>
              </w:rPr>
              <w:t>Other Asian style noodles</w:t>
            </w:r>
          </w:p>
        </w:tc>
        <w:tc>
          <w:tcPr>
            <w:tcW w:w="566" w:type="dxa"/>
          </w:tcPr>
          <w:p>
            <w:pPr>
              <w:pStyle w:val="TableParagraph"/>
              <w:spacing w:line="253" w:lineRule="exact"/>
              <w:ind w:left="87" w:right="188"/>
              <w:jc w:val="center"/>
              <w:rPr>
                <w:sz w:val="24"/>
              </w:rPr>
            </w:pPr>
            <w:r>
              <w:rPr>
                <w:sz w:val="24"/>
              </w:rPr>
              <w:t>35</w:t>
            </w:r>
          </w:p>
        </w:tc>
        <w:tc>
          <w:tcPr>
            <w:tcW w:w="456" w:type="dxa"/>
          </w:tcPr>
          <w:p>
            <w:pPr>
              <w:pStyle w:val="TableParagraph"/>
              <w:spacing w:line="253" w:lineRule="exact"/>
              <w:ind w:right="92"/>
              <w:jc w:val="right"/>
              <w:rPr>
                <w:sz w:val="24"/>
              </w:rPr>
            </w:pPr>
            <w:r>
              <w:rPr>
                <w:sz w:val="24"/>
              </w:rPr>
              <w:t>kg</w:t>
            </w:r>
          </w:p>
        </w:tc>
        <w:tc>
          <w:tcPr>
            <w:tcW w:w="3370" w:type="dxa"/>
          </w:tcPr>
          <w:p>
            <w:pPr>
              <w:pStyle w:val="TableParagraph"/>
              <w:spacing w:line="253" w:lineRule="exact"/>
              <w:ind w:left="111"/>
              <w:rPr>
                <w:sz w:val="24"/>
              </w:rPr>
            </w:pPr>
            <w:r>
              <w:rPr>
                <w:sz w:val="24"/>
              </w:rPr>
              <w:t>Other fresh Asian style noodles</w:t>
            </w:r>
          </w:p>
        </w:tc>
      </w:tr>
      <w:tr>
        <w:trPr>
          <w:trHeight w:val="277" w:hRule="atLeast"/>
        </w:trPr>
        <w:tc>
          <w:tcPr>
            <w:tcW w:w="1382" w:type="dxa"/>
            <w:vMerge/>
            <w:tcBorders>
              <w:top w:val="nil"/>
            </w:tcBorders>
          </w:tcPr>
          <w:p>
            <w:pPr>
              <w:rPr>
                <w:sz w:val="2"/>
                <w:szCs w:val="2"/>
              </w:rPr>
            </w:pPr>
          </w:p>
        </w:tc>
        <w:tc>
          <w:tcPr>
            <w:tcW w:w="600" w:type="dxa"/>
          </w:tcPr>
          <w:p>
            <w:pPr>
              <w:pStyle w:val="TableParagraph"/>
              <w:ind w:left="105"/>
              <w:rPr>
                <w:sz w:val="24"/>
              </w:rPr>
            </w:pPr>
            <w:r>
              <w:rPr>
                <w:sz w:val="24"/>
              </w:rPr>
              <w:t>40</w:t>
            </w:r>
          </w:p>
        </w:tc>
        <w:tc>
          <w:tcPr>
            <w:tcW w:w="456" w:type="dxa"/>
          </w:tcPr>
          <w:p>
            <w:pPr>
              <w:pStyle w:val="TableParagraph"/>
              <w:ind w:right="93"/>
              <w:jc w:val="right"/>
              <w:rPr>
                <w:sz w:val="24"/>
              </w:rPr>
            </w:pPr>
            <w:r>
              <w:rPr>
                <w:sz w:val="24"/>
              </w:rPr>
              <w:t>kg</w:t>
            </w:r>
          </w:p>
        </w:tc>
        <w:tc>
          <w:tcPr>
            <w:tcW w:w="3230" w:type="dxa"/>
          </w:tcPr>
          <w:p>
            <w:pPr>
              <w:pStyle w:val="TableParagraph"/>
              <w:ind w:left="110"/>
              <w:rPr>
                <w:sz w:val="24"/>
              </w:rPr>
            </w:pPr>
            <w:r>
              <w:rPr>
                <w:sz w:val="24"/>
              </w:rPr>
              <w:t>Other</w:t>
            </w:r>
          </w:p>
        </w:tc>
        <w:tc>
          <w:tcPr>
            <w:tcW w:w="566" w:type="dxa"/>
          </w:tcPr>
          <w:p>
            <w:pPr>
              <w:pStyle w:val="TableParagraph"/>
              <w:ind w:left="87" w:right="188"/>
              <w:jc w:val="center"/>
              <w:rPr>
                <w:sz w:val="24"/>
              </w:rPr>
            </w:pPr>
            <w:r>
              <w:rPr>
                <w:sz w:val="24"/>
              </w:rPr>
              <w:t>40</w:t>
            </w:r>
          </w:p>
        </w:tc>
        <w:tc>
          <w:tcPr>
            <w:tcW w:w="456" w:type="dxa"/>
          </w:tcPr>
          <w:p>
            <w:pPr>
              <w:pStyle w:val="TableParagraph"/>
              <w:ind w:right="92"/>
              <w:jc w:val="right"/>
              <w:rPr>
                <w:sz w:val="24"/>
              </w:rPr>
            </w:pPr>
            <w:r>
              <w:rPr>
                <w:sz w:val="24"/>
              </w:rPr>
              <w:t>kg</w:t>
            </w:r>
          </w:p>
        </w:tc>
        <w:tc>
          <w:tcPr>
            <w:tcW w:w="3370" w:type="dxa"/>
          </w:tcPr>
          <w:p>
            <w:pPr>
              <w:pStyle w:val="TableParagraph"/>
              <w:ind w:left="111"/>
              <w:rPr>
                <w:sz w:val="24"/>
              </w:rPr>
            </w:pPr>
            <w:r>
              <w:rPr>
                <w:sz w:val="24"/>
              </w:rPr>
              <w:t>Other</w:t>
            </w:r>
          </w:p>
        </w:tc>
      </w:tr>
      <w:tr>
        <w:trPr>
          <w:trHeight w:val="278" w:hRule="atLeast"/>
        </w:trPr>
        <w:tc>
          <w:tcPr>
            <w:tcW w:w="1382" w:type="dxa"/>
            <w:vMerge w:val="restart"/>
          </w:tcPr>
          <w:p>
            <w:pPr>
              <w:pStyle w:val="TableParagraph"/>
              <w:spacing w:line="268" w:lineRule="exact"/>
              <w:ind w:left="105"/>
              <w:rPr>
                <w:sz w:val="24"/>
              </w:rPr>
            </w:pPr>
            <w:r>
              <w:rPr>
                <w:sz w:val="24"/>
              </w:rPr>
              <w:t>1902.30.00</w:t>
            </w:r>
          </w:p>
        </w:tc>
        <w:tc>
          <w:tcPr>
            <w:tcW w:w="600" w:type="dxa"/>
            <w:vMerge w:val="restart"/>
          </w:tcPr>
          <w:p>
            <w:pPr>
              <w:pStyle w:val="TableParagraph"/>
              <w:spacing w:line="268" w:lineRule="exact"/>
              <w:ind w:left="105"/>
              <w:rPr>
                <w:sz w:val="24"/>
              </w:rPr>
            </w:pPr>
            <w:r>
              <w:rPr>
                <w:sz w:val="24"/>
              </w:rPr>
              <w:t>09</w:t>
            </w:r>
          </w:p>
        </w:tc>
        <w:tc>
          <w:tcPr>
            <w:tcW w:w="456" w:type="dxa"/>
            <w:vMerge w:val="restart"/>
          </w:tcPr>
          <w:p>
            <w:pPr>
              <w:pStyle w:val="TableParagraph"/>
              <w:spacing w:line="268" w:lineRule="exact"/>
              <w:ind w:left="110"/>
              <w:rPr>
                <w:sz w:val="24"/>
              </w:rPr>
            </w:pPr>
            <w:r>
              <w:rPr>
                <w:sz w:val="24"/>
              </w:rPr>
              <w:t>kg</w:t>
            </w:r>
          </w:p>
        </w:tc>
        <w:tc>
          <w:tcPr>
            <w:tcW w:w="3230" w:type="dxa"/>
            <w:vMerge w:val="restart"/>
          </w:tcPr>
          <w:p>
            <w:pPr>
              <w:pStyle w:val="TableParagraph"/>
              <w:spacing w:line="268" w:lineRule="exact"/>
              <w:ind w:left="110"/>
              <w:rPr>
                <w:sz w:val="24"/>
              </w:rPr>
            </w:pPr>
            <w:r>
              <w:rPr>
                <w:sz w:val="24"/>
              </w:rPr>
              <w:t>- Other pasta</w:t>
            </w:r>
          </w:p>
        </w:tc>
        <w:tc>
          <w:tcPr>
            <w:tcW w:w="566" w:type="dxa"/>
          </w:tcPr>
          <w:p>
            <w:pPr>
              <w:pStyle w:val="TableParagraph"/>
              <w:spacing w:line="240" w:lineRule="auto"/>
              <w:rPr>
                <w:sz w:val="20"/>
              </w:rPr>
            </w:pPr>
          </w:p>
        </w:tc>
        <w:tc>
          <w:tcPr>
            <w:tcW w:w="456" w:type="dxa"/>
          </w:tcPr>
          <w:p>
            <w:pPr>
              <w:pStyle w:val="TableParagraph"/>
              <w:spacing w:line="240" w:lineRule="auto"/>
              <w:rPr>
                <w:sz w:val="20"/>
              </w:rPr>
            </w:pPr>
          </w:p>
        </w:tc>
        <w:tc>
          <w:tcPr>
            <w:tcW w:w="3370" w:type="dxa"/>
          </w:tcPr>
          <w:p>
            <w:pPr>
              <w:pStyle w:val="TableParagraph"/>
              <w:ind w:left="111"/>
              <w:rPr>
                <w:sz w:val="24"/>
              </w:rPr>
            </w:pPr>
            <w:r>
              <w:rPr>
                <w:sz w:val="24"/>
              </w:rPr>
              <w:t>- Other pasta</w:t>
            </w:r>
          </w:p>
        </w:tc>
      </w:tr>
      <w:tr>
        <w:trPr>
          <w:trHeight w:val="551" w:hRule="atLeast"/>
        </w:trPr>
        <w:tc>
          <w:tcPr>
            <w:tcW w:w="1382" w:type="dxa"/>
            <w:vMerge/>
            <w:tcBorders>
              <w:top w:val="nil"/>
            </w:tcBorders>
          </w:tcPr>
          <w:p>
            <w:pPr>
              <w:rPr>
                <w:sz w:val="2"/>
                <w:szCs w:val="2"/>
              </w:rPr>
            </w:pPr>
          </w:p>
        </w:tc>
        <w:tc>
          <w:tcPr>
            <w:tcW w:w="600" w:type="dxa"/>
            <w:vMerge/>
            <w:tcBorders>
              <w:top w:val="nil"/>
            </w:tcBorders>
          </w:tcPr>
          <w:p>
            <w:pPr>
              <w:rPr>
                <w:sz w:val="2"/>
                <w:szCs w:val="2"/>
              </w:rPr>
            </w:pPr>
          </w:p>
        </w:tc>
        <w:tc>
          <w:tcPr>
            <w:tcW w:w="456" w:type="dxa"/>
            <w:vMerge/>
            <w:tcBorders>
              <w:top w:val="nil"/>
            </w:tcBorders>
          </w:tcPr>
          <w:p>
            <w:pPr>
              <w:rPr>
                <w:sz w:val="2"/>
                <w:szCs w:val="2"/>
              </w:rPr>
            </w:pPr>
          </w:p>
        </w:tc>
        <w:tc>
          <w:tcPr>
            <w:tcW w:w="3230" w:type="dxa"/>
            <w:vMerge/>
            <w:tcBorders>
              <w:top w:val="nil"/>
            </w:tcBorders>
          </w:tcPr>
          <w:p>
            <w:pPr>
              <w:rPr>
                <w:sz w:val="2"/>
                <w:szCs w:val="2"/>
              </w:rPr>
            </w:pPr>
          </w:p>
        </w:tc>
        <w:tc>
          <w:tcPr>
            <w:tcW w:w="566" w:type="dxa"/>
          </w:tcPr>
          <w:p>
            <w:pPr>
              <w:pStyle w:val="TableParagraph"/>
              <w:spacing w:line="268" w:lineRule="exact"/>
              <w:ind w:left="87" w:right="188"/>
              <w:jc w:val="center"/>
              <w:rPr>
                <w:sz w:val="24"/>
              </w:rPr>
            </w:pPr>
            <w:r>
              <w:rPr>
                <w:sz w:val="24"/>
              </w:rPr>
              <w:t>03</w:t>
            </w:r>
          </w:p>
        </w:tc>
        <w:tc>
          <w:tcPr>
            <w:tcW w:w="456" w:type="dxa"/>
          </w:tcPr>
          <w:p>
            <w:pPr>
              <w:pStyle w:val="TableParagraph"/>
              <w:spacing w:line="268" w:lineRule="exact"/>
              <w:ind w:right="92"/>
              <w:jc w:val="right"/>
              <w:rPr>
                <w:sz w:val="24"/>
              </w:rPr>
            </w:pPr>
            <w:r>
              <w:rPr>
                <w:sz w:val="24"/>
              </w:rPr>
              <w:t>kg</w:t>
            </w:r>
          </w:p>
        </w:tc>
        <w:tc>
          <w:tcPr>
            <w:tcW w:w="3370" w:type="dxa"/>
          </w:tcPr>
          <w:p>
            <w:pPr>
              <w:pStyle w:val="TableParagraph"/>
              <w:spacing w:line="267" w:lineRule="exact"/>
              <w:ind w:left="111"/>
              <w:rPr>
                <w:sz w:val="24"/>
              </w:rPr>
            </w:pPr>
            <w:r>
              <w:rPr>
                <w:sz w:val="24"/>
              </w:rPr>
              <w:t>Instant Asian style noodles</w:t>
            </w:r>
          </w:p>
          <w:p>
            <w:pPr>
              <w:pStyle w:val="TableParagraph"/>
              <w:spacing w:line="265" w:lineRule="exact"/>
              <w:ind w:left="111"/>
              <w:rPr>
                <w:sz w:val="24"/>
              </w:rPr>
            </w:pPr>
            <w:r>
              <w:rPr>
                <w:sz w:val="24"/>
              </w:rPr>
              <w:t>including instant ramen noodles</w:t>
            </w:r>
          </w:p>
        </w:tc>
      </w:tr>
      <w:tr>
        <w:trPr>
          <w:trHeight w:val="273" w:hRule="atLeast"/>
        </w:trPr>
        <w:tc>
          <w:tcPr>
            <w:tcW w:w="1382" w:type="dxa"/>
            <w:vMerge/>
            <w:tcBorders>
              <w:top w:val="nil"/>
            </w:tcBorders>
          </w:tcPr>
          <w:p>
            <w:pPr>
              <w:rPr>
                <w:sz w:val="2"/>
                <w:szCs w:val="2"/>
              </w:rPr>
            </w:pPr>
          </w:p>
        </w:tc>
        <w:tc>
          <w:tcPr>
            <w:tcW w:w="600" w:type="dxa"/>
            <w:vMerge/>
            <w:tcBorders>
              <w:top w:val="nil"/>
            </w:tcBorders>
          </w:tcPr>
          <w:p>
            <w:pPr>
              <w:rPr>
                <w:sz w:val="2"/>
                <w:szCs w:val="2"/>
              </w:rPr>
            </w:pPr>
          </w:p>
        </w:tc>
        <w:tc>
          <w:tcPr>
            <w:tcW w:w="456" w:type="dxa"/>
            <w:vMerge/>
            <w:tcBorders>
              <w:top w:val="nil"/>
            </w:tcBorders>
          </w:tcPr>
          <w:p>
            <w:pPr>
              <w:rPr>
                <w:sz w:val="2"/>
                <w:szCs w:val="2"/>
              </w:rPr>
            </w:pPr>
          </w:p>
        </w:tc>
        <w:tc>
          <w:tcPr>
            <w:tcW w:w="3230" w:type="dxa"/>
            <w:vMerge/>
            <w:tcBorders>
              <w:top w:val="nil"/>
            </w:tcBorders>
          </w:tcPr>
          <w:p>
            <w:pPr>
              <w:rPr>
                <w:sz w:val="2"/>
                <w:szCs w:val="2"/>
              </w:rPr>
            </w:pPr>
          </w:p>
        </w:tc>
        <w:tc>
          <w:tcPr>
            <w:tcW w:w="566" w:type="dxa"/>
          </w:tcPr>
          <w:p>
            <w:pPr>
              <w:pStyle w:val="TableParagraph"/>
              <w:spacing w:line="253" w:lineRule="exact"/>
              <w:ind w:left="87" w:right="188"/>
              <w:jc w:val="center"/>
              <w:rPr>
                <w:sz w:val="24"/>
              </w:rPr>
            </w:pPr>
            <w:r>
              <w:rPr>
                <w:sz w:val="24"/>
              </w:rPr>
              <w:t>04</w:t>
            </w:r>
          </w:p>
        </w:tc>
        <w:tc>
          <w:tcPr>
            <w:tcW w:w="456" w:type="dxa"/>
          </w:tcPr>
          <w:p>
            <w:pPr>
              <w:pStyle w:val="TableParagraph"/>
              <w:spacing w:line="253" w:lineRule="exact"/>
              <w:ind w:right="92"/>
              <w:jc w:val="right"/>
              <w:rPr>
                <w:sz w:val="24"/>
              </w:rPr>
            </w:pPr>
            <w:r>
              <w:rPr>
                <w:sz w:val="24"/>
              </w:rPr>
              <w:t>kg</w:t>
            </w:r>
          </w:p>
        </w:tc>
        <w:tc>
          <w:tcPr>
            <w:tcW w:w="3370" w:type="dxa"/>
          </w:tcPr>
          <w:p>
            <w:pPr>
              <w:pStyle w:val="TableParagraph"/>
              <w:spacing w:line="253" w:lineRule="exact"/>
              <w:ind w:left="111"/>
              <w:rPr>
                <w:sz w:val="24"/>
              </w:rPr>
            </w:pPr>
            <w:r>
              <w:rPr>
                <w:sz w:val="24"/>
              </w:rPr>
              <w:t>Other instant noodles</w:t>
            </w:r>
          </w:p>
        </w:tc>
      </w:tr>
      <w:tr>
        <w:trPr>
          <w:trHeight w:val="277" w:hRule="atLeast"/>
        </w:trPr>
        <w:tc>
          <w:tcPr>
            <w:tcW w:w="1382" w:type="dxa"/>
            <w:vMerge/>
            <w:tcBorders>
              <w:top w:val="nil"/>
            </w:tcBorders>
          </w:tcPr>
          <w:p>
            <w:pPr>
              <w:rPr>
                <w:sz w:val="2"/>
                <w:szCs w:val="2"/>
              </w:rPr>
            </w:pPr>
          </w:p>
        </w:tc>
        <w:tc>
          <w:tcPr>
            <w:tcW w:w="600" w:type="dxa"/>
            <w:vMerge/>
            <w:tcBorders>
              <w:top w:val="nil"/>
            </w:tcBorders>
          </w:tcPr>
          <w:p>
            <w:pPr>
              <w:rPr>
                <w:sz w:val="2"/>
                <w:szCs w:val="2"/>
              </w:rPr>
            </w:pPr>
          </w:p>
        </w:tc>
        <w:tc>
          <w:tcPr>
            <w:tcW w:w="456" w:type="dxa"/>
            <w:vMerge/>
            <w:tcBorders>
              <w:top w:val="nil"/>
            </w:tcBorders>
          </w:tcPr>
          <w:p>
            <w:pPr>
              <w:rPr>
                <w:sz w:val="2"/>
                <w:szCs w:val="2"/>
              </w:rPr>
            </w:pPr>
          </w:p>
        </w:tc>
        <w:tc>
          <w:tcPr>
            <w:tcW w:w="3230" w:type="dxa"/>
            <w:vMerge/>
            <w:tcBorders>
              <w:top w:val="nil"/>
            </w:tcBorders>
          </w:tcPr>
          <w:p>
            <w:pPr>
              <w:rPr>
                <w:sz w:val="2"/>
                <w:szCs w:val="2"/>
              </w:rPr>
            </w:pPr>
          </w:p>
        </w:tc>
        <w:tc>
          <w:tcPr>
            <w:tcW w:w="566" w:type="dxa"/>
          </w:tcPr>
          <w:p>
            <w:pPr>
              <w:pStyle w:val="TableParagraph"/>
              <w:ind w:left="87" w:right="188"/>
              <w:jc w:val="center"/>
              <w:rPr>
                <w:sz w:val="24"/>
              </w:rPr>
            </w:pPr>
            <w:r>
              <w:rPr>
                <w:sz w:val="24"/>
              </w:rPr>
              <w:t>09</w:t>
            </w:r>
          </w:p>
        </w:tc>
        <w:tc>
          <w:tcPr>
            <w:tcW w:w="456" w:type="dxa"/>
          </w:tcPr>
          <w:p>
            <w:pPr>
              <w:pStyle w:val="TableParagraph"/>
              <w:ind w:right="92"/>
              <w:jc w:val="right"/>
              <w:rPr>
                <w:sz w:val="24"/>
              </w:rPr>
            </w:pPr>
            <w:r>
              <w:rPr>
                <w:sz w:val="24"/>
              </w:rPr>
              <w:t>kg</w:t>
            </w:r>
          </w:p>
        </w:tc>
        <w:tc>
          <w:tcPr>
            <w:tcW w:w="3370" w:type="dxa"/>
          </w:tcPr>
          <w:p>
            <w:pPr>
              <w:pStyle w:val="TableParagraph"/>
              <w:ind w:left="111"/>
              <w:rPr>
                <w:sz w:val="24"/>
              </w:rPr>
            </w:pPr>
            <w:r>
              <w:rPr>
                <w:sz w:val="24"/>
              </w:rPr>
              <w:t>Other pasta</w:t>
            </w:r>
          </w:p>
        </w:tc>
      </w:tr>
    </w:tbl>
    <w:p>
      <w:pPr>
        <w:pStyle w:val="BodyText"/>
        <w:spacing w:before="1"/>
        <w:rPr>
          <w:sz w:val="23"/>
        </w:rPr>
      </w:pPr>
    </w:p>
    <w:p>
      <w:pPr>
        <w:pStyle w:val="BodyText"/>
        <w:spacing w:line="242" w:lineRule="auto"/>
        <w:ind w:left="1147" w:right="1525"/>
      </w:pPr>
      <w:r>
        <w:rPr/>
        <w:t>The ABS has further advised that there will be no changes to the Australian Harmonized Export Commodity Classification on 1 July 2016.</w:t>
      </w:r>
    </w:p>
    <w:p>
      <w:pPr>
        <w:pStyle w:val="BodyText"/>
        <w:spacing w:before="205"/>
        <w:ind w:left="1147"/>
      </w:pPr>
      <w:r>
        <w:rPr/>
        <w:t>Amendments will be made the following Customs Tariff Working Pages:</w:t>
      </w:r>
    </w:p>
    <w:p>
      <w:pPr>
        <w:pStyle w:val="BodyText"/>
        <w:spacing w:before="11"/>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1751"/>
      </w:tblGrid>
      <w:tr>
        <w:trPr>
          <w:trHeight w:val="269" w:hRule="atLeast"/>
        </w:trPr>
        <w:tc>
          <w:tcPr>
            <w:tcW w:w="1820" w:type="dxa"/>
          </w:tcPr>
          <w:p>
            <w:pPr>
              <w:pStyle w:val="TableParagraph"/>
              <w:spacing w:line="250" w:lineRule="exact"/>
              <w:ind w:left="200"/>
              <w:rPr>
                <w:sz w:val="24"/>
              </w:rPr>
            </w:pPr>
            <w:r>
              <w:rPr>
                <w:sz w:val="24"/>
                <w:u w:val="single"/>
              </w:rPr>
              <w:t>Schedule 3</w:t>
            </w:r>
          </w:p>
        </w:tc>
        <w:tc>
          <w:tcPr>
            <w:tcW w:w="1751" w:type="dxa"/>
          </w:tcPr>
          <w:p>
            <w:pPr>
              <w:pStyle w:val="TableParagraph"/>
              <w:spacing w:line="240" w:lineRule="auto"/>
              <w:rPr>
                <w:sz w:val="18"/>
              </w:rPr>
            </w:pPr>
          </w:p>
        </w:tc>
      </w:tr>
      <w:tr>
        <w:trPr>
          <w:trHeight w:val="269" w:hRule="atLeast"/>
        </w:trPr>
        <w:tc>
          <w:tcPr>
            <w:tcW w:w="1820" w:type="dxa"/>
          </w:tcPr>
          <w:p>
            <w:pPr>
              <w:pStyle w:val="TableParagraph"/>
              <w:spacing w:line="250" w:lineRule="exact"/>
              <w:ind w:left="200"/>
              <w:rPr>
                <w:sz w:val="24"/>
              </w:rPr>
            </w:pPr>
            <w:r>
              <w:rPr>
                <w:sz w:val="24"/>
              </w:rPr>
              <w:t>19/3(R.5)</w:t>
            </w:r>
          </w:p>
        </w:tc>
        <w:tc>
          <w:tcPr>
            <w:tcW w:w="1751" w:type="dxa"/>
          </w:tcPr>
          <w:p>
            <w:pPr>
              <w:pStyle w:val="TableParagraph"/>
              <w:spacing w:line="250" w:lineRule="exact"/>
              <w:ind w:left="559"/>
              <w:rPr>
                <w:sz w:val="24"/>
              </w:rPr>
            </w:pPr>
            <w:r>
              <w:rPr>
                <w:sz w:val="24"/>
              </w:rPr>
              <w:t>19/5 (R.0)</w:t>
            </w:r>
          </w:p>
        </w:tc>
      </w:tr>
    </w:tbl>
    <w:p>
      <w:pPr>
        <w:pStyle w:val="BodyText"/>
        <w:spacing w:before="4"/>
        <w:rPr>
          <w:sz w:val="28"/>
        </w:rPr>
      </w:pPr>
    </w:p>
    <w:p>
      <w:pPr>
        <w:pStyle w:val="BodyText"/>
        <w:spacing w:line="237" w:lineRule="auto"/>
        <w:ind w:left="1147" w:right="1126"/>
      </w:pPr>
      <w:r>
        <w:rPr/>
        <w:t>The amended tariff pages will be available on the Department’s website prior to 1 July 2016 and the reprint pages will be issued in the week commencing 11 July 2016.</w:t>
      </w:r>
    </w:p>
    <w:p>
      <w:pPr>
        <w:pStyle w:val="BodyText"/>
        <w:spacing w:before="1"/>
      </w:pPr>
    </w:p>
    <w:p>
      <w:pPr>
        <w:pStyle w:val="BodyText"/>
        <w:ind w:left="1147"/>
      </w:pPr>
      <w:r>
        <w:rPr/>
        <w:t>Please direct any inquiries to the following contacts:</w:t>
      </w:r>
    </w:p>
    <w:p>
      <w:pPr>
        <w:pStyle w:val="BodyText"/>
        <w:spacing w:before="2"/>
        <w:rPr>
          <w:sz w:val="16"/>
        </w:rPr>
      </w:pPr>
    </w:p>
    <w:p>
      <w:pPr>
        <w:spacing w:after="0"/>
        <w:rPr>
          <w:sz w:val="16"/>
        </w:rPr>
        <w:sectPr>
          <w:type w:val="continuous"/>
          <w:pgSz w:w="11910" w:h="16840"/>
          <w:pgMar w:top="600" w:bottom="280" w:left="0" w:right="0"/>
        </w:sectPr>
      </w:pPr>
    </w:p>
    <w:p>
      <w:pPr>
        <w:pStyle w:val="BodyText"/>
        <w:spacing w:before="90"/>
        <w:ind w:left="1147" w:right="2065"/>
      </w:pPr>
      <w:r>
        <w:rPr>
          <w:u w:val="single"/>
        </w:rPr>
        <w:t>Customs Tariff</w:t>
      </w:r>
      <w:r>
        <w:rPr/>
        <w:t> Assistant Director Trade Policy</w:t>
      </w:r>
    </w:p>
    <w:p>
      <w:pPr>
        <w:pStyle w:val="BodyText"/>
        <w:spacing w:line="237" w:lineRule="auto" w:before="5"/>
        <w:ind w:left="1147" w:right="19"/>
      </w:pPr>
      <w:r>
        <w:rPr/>
        <w:t>Department of Immigration and Border Protection</w:t>
      </w:r>
    </w:p>
    <w:p>
      <w:pPr>
        <w:pStyle w:val="BodyText"/>
        <w:spacing w:before="3"/>
        <w:ind w:left="1147"/>
      </w:pPr>
      <w:r>
        <w:rPr/>
        <w:t>Ph: (02) 6264 2143</w:t>
      </w:r>
    </w:p>
    <w:p>
      <w:pPr>
        <w:pStyle w:val="BodyText"/>
        <w:spacing w:before="90"/>
        <w:ind w:left="1152" w:right="2608" w:hanging="5"/>
      </w:pPr>
      <w:r>
        <w:rPr/>
        <w:br w:type="column"/>
      </w:r>
      <w:r>
        <w:rPr>
          <w:u w:val="single"/>
        </w:rPr>
        <w:t>Statistical Codes</w:t>
      </w:r>
      <w:r>
        <w:rPr/>
        <w:t> Classification Manager International Trade Section Australian Bureau of Statistics Ph: (02) 6252</w:t>
      </w:r>
      <w:r>
        <w:rPr>
          <w:spacing w:val="2"/>
        </w:rPr>
        <w:t> </w:t>
      </w:r>
      <w:r>
        <w:rPr/>
        <w:t>5409</w:t>
      </w:r>
    </w:p>
    <w:p>
      <w:pPr>
        <w:pStyle w:val="BodyText"/>
        <w:spacing w:before="2"/>
        <w:ind w:left="1152"/>
      </w:pPr>
      <w:r>
        <w:rPr/>
        <w:t>Email: </w:t>
      </w:r>
      <w:hyperlink r:id="rId6">
        <w:r>
          <w:rPr/>
          <w:t>international.trade@abs.gov.au</w:t>
        </w:r>
      </w:hyperlink>
    </w:p>
    <w:p>
      <w:pPr>
        <w:spacing w:after="0"/>
        <w:sectPr>
          <w:type w:val="continuous"/>
          <w:pgSz w:w="11910" w:h="16840"/>
          <w:pgMar w:top="600" w:bottom="280" w:left="0" w:right="0"/>
          <w:cols w:num="2" w:equalWidth="0">
            <w:col w:w="4972" w:space="236"/>
            <w:col w:w="6702"/>
          </w:cols>
        </w:sectPr>
      </w:pPr>
    </w:p>
    <w:p>
      <w:pPr>
        <w:pStyle w:val="BodyText"/>
        <w:rPr>
          <w:sz w:val="20"/>
        </w:rPr>
      </w:pPr>
    </w:p>
    <w:p>
      <w:pPr>
        <w:pStyle w:val="BodyText"/>
        <w:rPr>
          <w:sz w:val="20"/>
        </w:rPr>
      </w:pPr>
    </w:p>
    <w:p>
      <w:pPr>
        <w:pStyle w:val="BodyText"/>
        <w:spacing w:before="90"/>
        <w:ind w:left="1142"/>
      </w:pPr>
      <w:r>
        <w:rPr/>
        <w:t>(signed)</w:t>
      </w:r>
    </w:p>
    <w:p>
      <w:pPr>
        <w:pStyle w:val="BodyText"/>
        <w:spacing w:line="237" w:lineRule="auto" w:before="4"/>
        <w:ind w:left="1147" w:right="8896"/>
      </w:pPr>
      <w:r>
        <w:rPr/>
        <w:t>Andrew Chandler Assistant Secretary</w:t>
      </w:r>
    </w:p>
    <w:p>
      <w:pPr>
        <w:pStyle w:val="BodyText"/>
        <w:spacing w:line="242" w:lineRule="auto"/>
        <w:ind w:left="1147" w:right="6076"/>
      </w:pPr>
      <w:r>
        <w:rPr/>
        <w:t>Traveller, Customs and Industry Policy Division 21 June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90"/>
      <w:ind w:left="1238"/>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58"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DIBP Notices 2016</cp:keywords>
  <dc:subject>Customs Notices</dc:subject>
  <dc:title>Statistical Code Changes for 1 July 2016</dc:title>
  <dcterms:created xsi:type="dcterms:W3CDTF">2020-12-09T22:29:45Z</dcterms:created>
  <dcterms:modified xsi:type="dcterms:W3CDTF">2020-12-09T22:29:45Z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2016-06-24T00:00:00Z</vt:filetime>
  </property>
  <property fmtid="{D5CDD505-2E9C-101B-9397-08002B2CF9AE}" pid="3" name="Creator">
    <vt:lpwstr>Acrobat PDFMaker 10.0 for Word</vt:lpwstr>
  </property>
  <property fmtid="{D5CDD505-2E9C-101B-9397-08002B2CF9AE}" pid="4" name="LastSaved">
    <vt:filetime>2020-12-09T00:00:00Z</vt:filetime>
  </property>
</Properties>
</file>