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17"/>
        </w:rPr>
      </w:pPr>
    </w:p>
    <w:p>
      <w:pPr>
        <w:pStyle w:val="Heading1"/>
        <w:ind w:left="1238"/>
        <w:jc w:val="left"/>
      </w:pPr>
      <w:r>
        <w:rPr/>
        <w:drawing>
          <wp:anchor distT="0" distB="0" distL="0" distR="0" allowOverlap="1" layoutInCell="1" locked="0" behindDoc="0" simplePos="0" relativeHeight="15729152">
            <wp:simplePos x="0" y="0"/>
            <wp:positionH relativeFrom="page">
              <wp:posOffset>0</wp:posOffset>
            </wp:positionH>
            <wp:positionV relativeFrom="paragraph">
              <wp:posOffset>-1294613</wp:posOffset>
            </wp:positionV>
            <wp:extent cx="7559040" cy="110921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40" cy="1109217"/>
                    </a:xfrm>
                    <a:prstGeom prst="rect">
                      <a:avLst/>
                    </a:prstGeom>
                  </pic:spPr>
                </pic:pic>
              </a:graphicData>
            </a:graphic>
          </wp:anchor>
        </w:drawing>
      </w:r>
      <w:r>
        <w:rPr/>
        <w:t>DEPARTMENT OF IMMIGRATION AND BORDER PROTECTION NOTICE</w:t>
      </w:r>
    </w:p>
    <w:p>
      <w:pPr>
        <w:spacing w:before="201"/>
        <w:ind w:left="3178" w:right="2732" w:firstLine="0"/>
        <w:jc w:val="center"/>
        <w:rPr>
          <w:b/>
          <w:sz w:val="28"/>
        </w:rPr>
      </w:pPr>
      <w:r>
        <w:rPr/>
        <w:pict>
          <v:rect style="position:absolute;margin-left:55.944pt;margin-top:30.381817pt;width:506.11pt;height:.48pt;mso-position-horizontal-relative:page;mso-position-vertical-relative:paragraph;z-index:-15728640;mso-wrap-distance-left:0;mso-wrap-distance-right:0" filled="true" fillcolor="#4f81bc" stroked="false">
            <v:fill type="solid"/>
            <w10:wrap type="topAndBottom"/>
          </v:rect>
        </w:pict>
      </w:r>
      <w:r>
        <w:rPr>
          <w:b/>
          <w:sz w:val="28"/>
        </w:rPr>
        <w:t>No. 2016/32</w:t>
      </w:r>
    </w:p>
    <w:p>
      <w:pPr>
        <w:pStyle w:val="BodyText"/>
        <w:spacing w:before="2"/>
        <w:rPr>
          <w:b/>
          <w:sz w:val="13"/>
        </w:rPr>
      </w:pPr>
    </w:p>
    <w:p>
      <w:pPr>
        <w:pStyle w:val="Heading1"/>
        <w:ind w:right="3183"/>
      </w:pPr>
      <w:r>
        <w:rPr/>
        <w:t>Applications for Customs Broker Licence</w:t>
      </w:r>
    </w:p>
    <w:p>
      <w:pPr>
        <w:pStyle w:val="BodyText"/>
        <w:spacing w:before="9"/>
        <w:rPr>
          <w:b/>
          <w:sz w:val="24"/>
        </w:rPr>
      </w:pPr>
    </w:p>
    <w:p>
      <w:pPr>
        <w:pStyle w:val="BodyText"/>
        <w:spacing w:before="1"/>
        <w:ind w:left="720" w:right="1187"/>
      </w:pPr>
      <w:r>
        <w:rPr/>
        <w:t>The following individuals and company have applied to the Comptroller-General of Customs for a customs broker licence.</w:t>
      </w:r>
    </w:p>
    <w:p>
      <w:pPr>
        <w:pStyle w:val="BodyText"/>
        <w:rPr>
          <w:sz w:val="22"/>
        </w:rPr>
      </w:pPr>
    </w:p>
    <w:p>
      <w:pPr>
        <w:pStyle w:val="BodyText"/>
        <w:spacing w:before="4"/>
        <w:rPr>
          <w:sz w:val="17"/>
        </w:rPr>
      </w:pPr>
    </w:p>
    <w:p>
      <w:pPr>
        <w:pStyle w:val="Heading2"/>
        <w:tabs>
          <w:tab w:pos="5171" w:val="left" w:leader="none"/>
        </w:tabs>
        <w:rPr>
          <w:u w:val="none"/>
        </w:rPr>
      </w:pPr>
      <w:r>
        <w:rPr>
          <w:u w:val="single"/>
        </w:rPr>
        <w:t>INDIVIDUALS</w:t>
      </w:r>
      <w:r>
        <w:rPr>
          <w:u w:val="none"/>
        </w:rPr>
        <w:tab/>
      </w:r>
      <w:r>
        <w:rPr>
          <w:spacing w:val="-3"/>
          <w:u w:val="single"/>
        </w:rPr>
        <w:t>COMPANY</w:t>
      </w:r>
    </w:p>
    <w:p>
      <w:pPr>
        <w:pStyle w:val="BodyText"/>
        <w:tabs>
          <w:tab w:pos="5166" w:val="left" w:leader="none"/>
        </w:tabs>
        <w:spacing w:before="5"/>
        <w:ind w:left="720"/>
      </w:pPr>
      <w:r>
        <w:rPr/>
        <w:t>Andrew</w:t>
      </w:r>
      <w:r>
        <w:rPr>
          <w:spacing w:val="-4"/>
        </w:rPr>
        <w:t> </w:t>
      </w:r>
      <w:r>
        <w:rPr/>
        <w:t>Moller</w:t>
        <w:tab/>
        <w:t>Trans Global Projects Logistics Pty</w:t>
      </w:r>
      <w:r>
        <w:rPr>
          <w:spacing w:val="-4"/>
        </w:rPr>
        <w:t> </w:t>
      </w:r>
      <w:r>
        <w:rPr/>
        <w:t>Ltd</w:t>
      </w:r>
    </w:p>
    <w:p>
      <w:pPr>
        <w:pStyle w:val="BodyText"/>
        <w:tabs>
          <w:tab w:pos="5157" w:val="left" w:leader="none"/>
        </w:tabs>
        <w:ind w:left="720"/>
      </w:pPr>
      <w:r>
        <w:rPr/>
        <w:t>Clint</w:t>
      </w:r>
      <w:r>
        <w:rPr>
          <w:spacing w:val="2"/>
        </w:rPr>
        <w:t> </w:t>
      </w:r>
      <w:r>
        <w:rPr/>
        <w:t>Byatt</w:t>
        <w:tab/>
        <w:t>ABN 15 606 673</w:t>
      </w:r>
      <w:r>
        <w:rPr>
          <w:spacing w:val="-7"/>
        </w:rPr>
        <w:t> </w:t>
      </w:r>
      <w:r>
        <w:rPr/>
        <w:t>223</w:t>
      </w:r>
    </w:p>
    <w:p>
      <w:pPr>
        <w:pStyle w:val="BodyText"/>
        <w:tabs>
          <w:tab w:pos="5157" w:val="left" w:leader="none"/>
        </w:tabs>
        <w:spacing w:before="1"/>
        <w:ind w:left="720"/>
      </w:pPr>
      <w:r>
        <w:rPr/>
        <w:t>Joshua Ashcroft</w:t>
        <w:tab/>
        <w:t>IBM Building, Level</w:t>
      </w:r>
      <w:r>
        <w:rPr>
          <w:spacing w:val="-3"/>
        </w:rPr>
        <w:t> </w:t>
      </w:r>
      <w:r>
        <w:rPr/>
        <w:t>3</w:t>
      </w:r>
    </w:p>
    <w:p>
      <w:pPr>
        <w:pStyle w:val="BodyText"/>
        <w:tabs>
          <w:tab w:pos="5137" w:val="left" w:leader="none"/>
        </w:tabs>
        <w:ind w:left="720"/>
      </w:pPr>
      <w:r>
        <w:rPr/>
        <w:t>Stephanie</w:t>
      </w:r>
      <w:r>
        <w:rPr>
          <w:spacing w:val="1"/>
        </w:rPr>
        <w:t> </w:t>
      </w:r>
      <w:r>
        <w:rPr/>
        <w:t>Smith</w:t>
        <w:tab/>
        <w:t>1060 Hay</w:t>
      </w:r>
      <w:r>
        <w:rPr>
          <w:spacing w:val="-4"/>
        </w:rPr>
        <w:t> </w:t>
      </w:r>
      <w:r>
        <w:rPr/>
        <w:t>Street</w:t>
      </w:r>
    </w:p>
    <w:p>
      <w:pPr>
        <w:pStyle w:val="BodyText"/>
        <w:tabs>
          <w:tab w:pos="5128" w:val="left" w:leader="none"/>
        </w:tabs>
        <w:spacing w:before="1"/>
        <w:ind w:left="720" w:right="4464"/>
      </w:pPr>
      <w:r>
        <w:rPr/>
        <w:t>Tammy-Lee Esta</w:t>
        <w:tab/>
        <w:t>WEST PERTH </w:t>
      </w:r>
      <w:r>
        <w:rPr>
          <w:spacing w:val="3"/>
        </w:rPr>
        <w:t>WA </w:t>
      </w:r>
      <w:r>
        <w:rPr>
          <w:spacing w:val="-6"/>
        </w:rPr>
        <w:t>6005 </w:t>
      </w:r>
      <w:r>
        <w:rPr/>
        <w:t>Keith Harris</w:t>
      </w:r>
    </w:p>
    <w:p>
      <w:pPr>
        <w:spacing w:line="242" w:lineRule="auto" w:before="0"/>
        <w:ind w:left="5171" w:right="4723" w:firstLine="0"/>
        <w:jc w:val="left"/>
        <w:rPr>
          <w:sz w:val="20"/>
        </w:rPr>
      </w:pPr>
      <w:r>
        <w:rPr>
          <w:b/>
          <w:sz w:val="20"/>
          <w:u w:val="single"/>
        </w:rPr>
        <w:t>Persons in </w:t>
      </w:r>
      <w:r>
        <w:rPr>
          <w:b/>
          <w:spacing w:val="-4"/>
          <w:sz w:val="20"/>
          <w:u w:val="single"/>
        </w:rPr>
        <w:t>Authority</w:t>
      </w:r>
      <w:r>
        <w:rPr>
          <w:b/>
          <w:spacing w:val="-4"/>
          <w:sz w:val="20"/>
        </w:rPr>
        <w:t> </w:t>
      </w:r>
      <w:r>
        <w:rPr>
          <w:spacing w:val="-3"/>
          <w:sz w:val="20"/>
        </w:rPr>
        <w:t>Steven </w:t>
      </w:r>
      <w:r>
        <w:rPr>
          <w:sz w:val="20"/>
        </w:rPr>
        <w:t>Sullivan Andrew Herbert Matthew</w:t>
      </w:r>
      <w:r>
        <w:rPr>
          <w:spacing w:val="-6"/>
          <w:sz w:val="20"/>
        </w:rPr>
        <w:t> </w:t>
      </w:r>
      <w:r>
        <w:rPr>
          <w:sz w:val="20"/>
        </w:rPr>
        <w:t>Jackson</w:t>
      </w:r>
    </w:p>
    <w:p>
      <w:pPr>
        <w:pStyle w:val="BodyText"/>
        <w:spacing w:before="7"/>
        <w:rPr>
          <w:sz w:val="18"/>
        </w:rPr>
      </w:pPr>
    </w:p>
    <w:p>
      <w:pPr>
        <w:pStyle w:val="Heading2"/>
        <w:ind w:left="5171"/>
        <w:rPr>
          <w:u w:val="none"/>
        </w:rPr>
      </w:pPr>
      <w:r>
        <w:rPr>
          <w:u w:val="single"/>
        </w:rPr>
        <w:t>Nominee</w:t>
      </w:r>
      <w:r>
        <w:rPr>
          <w:spacing w:val="-4"/>
          <w:u w:val="single"/>
        </w:rPr>
        <w:t> </w:t>
      </w:r>
      <w:r>
        <w:rPr>
          <w:u w:val="single"/>
        </w:rPr>
        <w:t>Broker</w:t>
      </w:r>
    </w:p>
    <w:p>
      <w:pPr>
        <w:pStyle w:val="BodyText"/>
        <w:spacing w:before="5"/>
        <w:ind w:left="5171"/>
      </w:pPr>
      <w:r>
        <w:rPr/>
        <w:t>Drew Meredith</w:t>
      </w:r>
    </w:p>
    <w:p>
      <w:pPr>
        <w:pStyle w:val="BodyText"/>
        <w:rPr>
          <w:sz w:val="22"/>
        </w:rPr>
      </w:pPr>
    </w:p>
    <w:p>
      <w:pPr>
        <w:pStyle w:val="BodyText"/>
        <w:rPr>
          <w:sz w:val="22"/>
        </w:rPr>
      </w:pPr>
    </w:p>
    <w:p>
      <w:pPr>
        <w:pStyle w:val="BodyText"/>
        <w:spacing w:before="187"/>
        <w:ind w:left="720" w:right="1542"/>
      </w:pPr>
      <w:r>
        <w:rPr/>
        <w:t>Any person wishing to make written representation in respect of any of these applications should address the correspondence by 9 November 2016 to:</w:t>
      </w:r>
    </w:p>
    <w:p>
      <w:pPr>
        <w:pStyle w:val="BodyText"/>
        <w:spacing w:before="6"/>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1"/>
        <w:gridCol w:w="4214"/>
      </w:tblGrid>
      <w:tr>
        <w:trPr>
          <w:trHeight w:val="912" w:hRule="atLeast"/>
        </w:trPr>
        <w:tc>
          <w:tcPr>
            <w:tcW w:w="4781" w:type="dxa"/>
          </w:tcPr>
          <w:p>
            <w:pPr>
              <w:pStyle w:val="TableParagraph"/>
              <w:spacing w:line="225" w:lineRule="exact"/>
              <w:rPr>
                <w:sz w:val="20"/>
              </w:rPr>
            </w:pPr>
            <w:r>
              <w:rPr>
                <w:sz w:val="20"/>
              </w:rPr>
              <w:t>Broker Licensing</w:t>
            </w:r>
          </w:p>
          <w:p>
            <w:pPr>
              <w:pStyle w:val="TableParagraph"/>
              <w:spacing w:before="1"/>
              <w:ind w:right="192"/>
              <w:rPr>
                <w:sz w:val="20"/>
              </w:rPr>
            </w:pPr>
            <w:r>
              <w:rPr>
                <w:sz w:val="20"/>
              </w:rPr>
              <w:t>Department of Immigration and Border Protection 5 Chan Street</w:t>
            </w:r>
          </w:p>
          <w:p>
            <w:pPr>
              <w:pStyle w:val="TableParagraph"/>
              <w:spacing w:line="206" w:lineRule="exact"/>
              <w:rPr>
                <w:sz w:val="20"/>
              </w:rPr>
            </w:pPr>
            <w:r>
              <w:rPr>
                <w:sz w:val="20"/>
              </w:rPr>
              <w:t>BELCONNEN ACT 2617</w:t>
            </w:r>
          </w:p>
        </w:tc>
        <w:tc>
          <w:tcPr>
            <w:tcW w:w="4214" w:type="dxa"/>
          </w:tcPr>
          <w:p>
            <w:pPr>
              <w:pStyle w:val="TableParagraph"/>
              <w:ind w:left="0"/>
              <w:rPr>
                <w:sz w:val="20"/>
              </w:rPr>
            </w:pPr>
          </w:p>
          <w:p>
            <w:pPr>
              <w:pStyle w:val="TableParagraph"/>
              <w:ind w:left="206"/>
              <w:rPr>
                <w:sz w:val="20"/>
              </w:rPr>
            </w:pPr>
            <w:r>
              <w:rPr>
                <w:sz w:val="20"/>
              </w:rPr>
              <w:t>Or email: </w:t>
            </w:r>
            <w:hyperlink r:id="rId6">
              <w:r>
                <w:rPr>
                  <w:color w:val="0000FF"/>
                  <w:sz w:val="20"/>
                  <w:u w:val="single" w:color="0000FF"/>
                </w:rPr>
                <w:t>brokers.licensing@border.gov.au</w:t>
              </w:r>
            </w:hyperlink>
          </w:p>
        </w:tc>
      </w:tr>
    </w:tbl>
    <w:p>
      <w:pPr>
        <w:pStyle w:val="BodyText"/>
        <w:rPr>
          <w:sz w:val="22"/>
        </w:rPr>
      </w:pPr>
    </w:p>
    <w:p>
      <w:pPr>
        <w:pStyle w:val="BodyText"/>
        <w:spacing w:before="3"/>
        <w:rPr>
          <w:sz w:val="19"/>
        </w:rPr>
      </w:pPr>
    </w:p>
    <w:p>
      <w:pPr>
        <w:pStyle w:val="BodyText"/>
        <w:spacing w:before="1"/>
        <w:ind w:left="720" w:right="708"/>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rPr>
          <w:sz w:val="22"/>
        </w:rPr>
      </w:pPr>
    </w:p>
    <w:p>
      <w:pPr>
        <w:pStyle w:val="BodyText"/>
        <w:rPr>
          <w:sz w:val="22"/>
        </w:rPr>
      </w:pPr>
    </w:p>
    <w:p>
      <w:pPr>
        <w:pStyle w:val="BodyText"/>
        <w:spacing w:before="5"/>
        <w:rPr>
          <w:sz w:val="27"/>
        </w:rPr>
      </w:pPr>
    </w:p>
    <w:p>
      <w:pPr>
        <w:pStyle w:val="BodyText"/>
        <w:spacing w:before="1"/>
        <w:ind w:left="720"/>
      </w:pPr>
      <w:r>
        <w:rPr/>
        <w:t>[signed]</w:t>
      </w:r>
    </w:p>
    <w:p>
      <w:pPr>
        <w:pStyle w:val="BodyText"/>
        <w:rPr>
          <w:sz w:val="22"/>
        </w:rPr>
      </w:pPr>
    </w:p>
    <w:p>
      <w:pPr>
        <w:pStyle w:val="BodyText"/>
        <w:spacing w:before="11"/>
        <w:rPr>
          <w:sz w:val="18"/>
        </w:rPr>
      </w:pPr>
    </w:p>
    <w:p>
      <w:pPr>
        <w:pStyle w:val="BodyText"/>
        <w:ind w:left="720" w:right="9042"/>
      </w:pPr>
      <w:r>
        <w:rPr/>
        <w:t>Suzie </w:t>
      </w:r>
      <w:r>
        <w:rPr>
          <w:spacing w:val="-3"/>
        </w:rPr>
        <w:t>Nermutova </w:t>
      </w:r>
      <w:r>
        <w:rPr/>
        <w:t>Director</w:t>
      </w:r>
    </w:p>
    <w:p>
      <w:pPr>
        <w:pStyle w:val="BodyText"/>
        <w:spacing w:line="235" w:lineRule="auto" w:before="5"/>
        <w:ind w:left="720" w:right="9042"/>
      </w:pPr>
      <w:r>
        <w:rPr/>
        <w:t>Ports Policy CANBERRA</w:t>
      </w:r>
      <w:r>
        <w:rPr>
          <w:spacing w:val="8"/>
        </w:rPr>
        <w:t> </w:t>
      </w:r>
      <w:r>
        <w:rPr>
          <w:spacing w:val="-8"/>
        </w:rPr>
        <w:t>ACT</w:t>
      </w:r>
    </w:p>
    <w:p>
      <w:pPr>
        <w:pStyle w:val="BodyText"/>
        <w:spacing w:before="1"/>
        <w:ind w:left="720"/>
      </w:pPr>
      <w:r>
        <w:rPr/>
        <w:t>18 October</w:t>
      </w:r>
      <w:r>
        <w:rPr>
          <w:spacing w:val="-2"/>
        </w:rPr>
        <w:t> </w:t>
      </w:r>
      <w:r>
        <w:rPr/>
        <w:t>2016</w:t>
      </w:r>
    </w:p>
    <w:sectPr>
      <w:type w:val="continuous"/>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spacing w:before="90"/>
      <w:ind w:left="3178"/>
      <w:jc w:val="center"/>
      <w:outlineLvl w:val="1"/>
    </w:pPr>
    <w:rPr>
      <w:rFonts w:ascii="Arial" w:hAnsi="Arial" w:eastAsia="Arial" w:cs="Arial"/>
      <w:b/>
      <w:bCs/>
      <w:sz w:val="28"/>
      <w:szCs w:val="28"/>
      <w:lang w:val="en-au" w:eastAsia="en-US" w:bidi="ar-SA"/>
    </w:rPr>
  </w:style>
  <w:style w:styleId="Heading2" w:type="paragraph">
    <w:name w:val="Heading 2"/>
    <w:basedOn w:val="Normal"/>
    <w:uiPriority w:val="1"/>
    <w:qFormat/>
    <w:pPr>
      <w:ind w:left="720"/>
      <w:outlineLvl w:val="2"/>
    </w:pPr>
    <w:rPr>
      <w:rFonts w:ascii="Arial" w:hAnsi="Arial" w:eastAsia="Arial" w:cs="Arial"/>
      <w:b/>
      <w:bCs/>
      <w:sz w:val="20"/>
      <w:szCs w:val="20"/>
      <w:u w:val="single" w:color="000000"/>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border.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DIBP</dc:creator>
  <cp:keywords>2016/29</cp:keywords>
  <dc:subject>  Skip Navigation LinksHome &gt; Businesses, Agents and Trade Professionals &gt; Customs notices &gt; Australian Customs Notices (ACNs)​Department of Immigration and Border Protection (DIBP) Notices​​​​​​​​​​​On this page​2016​20152014201320122011201020092008200720062005200420032002200120001999199819971996DIBP Notices 2016</dc:subject>
  <dc:title>Applications for Customs Broker Licence</dc:title>
  <dcterms:created xsi:type="dcterms:W3CDTF">2020-12-09T22:34:33Z</dcterms:created>
  <dcterms:modified xsi:type="dcterms:W3CDTF">2020-12-09T22:34:33Z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2016-10-18T00:00:00Z</vt:filetime>
  </property>
  <property fmtid="{D5CDD505-2E9C-101B-9397-08002B2CF9AE}" pid="3" name="LastSaved">
    <vt:filetime>2020-12-09T00:00:00Z</vt:filetime>
  </property>
</Properties>
</file>