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-1293329</wp:posOffset>
            </wp:positionV>
            <wp:extent cx="7559014" cy="1110657"/>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4" cy="1110657"/>
                    </a:xfrm>
                    <a:prstGeom prst="rect">
                      <a:avLst/>
                    </a:prstGeom>
                  </pic:spPr>
                </pic:pic>
              </a:graphicData>
            </a:graphic>
          </wp:anchor>
        </w:drawing>
      </w:r>
      <w:r>
        <w:rPr/>
        <w:t>DEPARTMENT OF IMMIGRATION AND BORDER PROTECTION NOTICE</w:t>
      </w:r>
    </w:p>
    <w:p>
      <w:pPr>
        <w:pStyle w:val="Title"/>
        <w:spacing w:before="201"/>
        <w:ind w:left="5426" w:right="4980"/>
        <w:jc w:val="center"/>
      </w:pPr>
      <w:r>
        <w:rPr/>
        <w:pict>
          <v:rect style="position:absolute;margin-left:55.919998pt;margin-top:30.381865pt;width:505.921pt;height:.48pt;mso-position-horizontal-relative:page;mso-position-vertical-relative:paragraph;z-index:-15728640;mso-wrap-distance-left:0;mso-wrap-distance-right:0" filled="true" fillcolor="#4f81bd" stroked="false">
            <v:fill type="solid"/>
            <w10:wrap type="topAndBottom"/>
          </v:rect>
        </w:pict>
      </w:r>
      <w:r>
        <w:rPr/>
        <w:t>No.2017/02</w:t>
      </w:r>
    </w:p>
    <w:p>
      <w:pPr>
        <w:pStyle w:val="BodyText"/>
        <w:spacing w:before="7"/>
        <w:rPr>
          <w:rFonts w:ascii="Arial"/>
          <w:b/>
          <w:sz w:val="13"/>
        </w:rPr>
      </w:pPr>
    </w:p>
    <w:p>
      <w:pPr>
        <w:spacing w:before="89"/>
        <w:ind w:left="4675" w:right="1871" w:hanging="2794"/>
        <w:jc w:val="left"/>
        <w:rPr>
          <w:rFonts w:ascii="Arial-BoldItalicMT"/>
          <w:b/>
          <w:i/>
          <w:sz w:val="28"/>
        </w:rPr>
      </w:pPr>
      <w:r>
        <w:rPr>
          <w:rFonts w:ascii="Arial-BoldItalicMT"/>
          <w:b/>
          <w:i/>
          <w:sz w:val="28"/>
        </w:rPr>
        <w:t>Indexation of customs duty rates on excise-equivalent goods on 1 February 2017</w:t>
      </w:r>
    </w:p>
    <w:p>
      <w:pPr>
        <w:pStyle w:val="BodyText"/>
        <w:spacing w:line="242" w:lineRule="auto" w:before="249"/>
        <w:ind w:left="1147" w:right="1065"/>
      </w:pPr>
      <w:r>
        <w:rPr/>
        <w:t>This notice sets out the new customs duty rates for certain excise-equivalent goods, including spirits, beers and fuel products, operative from 1 February 2017.</w:t>
      </w:r>
    </w:p>
    <w:p>
      <w:pPr>
        <w:pStyle w:val="BodyText"/>
        <w:spacing w:before="8"/>
        <w:rPr>
          <w:sz w:val="23"/>
        </w:rPr>
      </w:pPr>
    </w:p>
    <w:p>
      <w:pPr>
        <w:pStyle w:val="BodyText"/>
        <w:spacing w:before="1"/>
        <w:ind w:left="1147" w:right="761"/>
      </w:pPr>
      <w:r>
        <w:rPr/>
        <w:t>Section 19 of the </w:t>
      </w:r>
      <w:r>
        <w:rPr>
          <w:i/>
        </w:rPr>
        <w:t>Customs Tariff Act 1995 </w:t>
      </w:r>
      <w:r>
        <w:rPr/>
        <w:t>(Customs Tariff), provides for customs </w:t>
      </w:r>
      <w:r>
        <w:rPr>
          <w:spacing w:val="2"/>
        </w:rPr>
        <w:t>duty </w:t>
      </w:r>
      <w:r>
        <w:rPr/>
        <w:t>rates for certain excise-equivalent goods to </w:t>
      </w:r>
      <w:r>
        <w:rPr>
          <w:spacing w:val="-3"/>
        </w:rPr>
        <w:t>be </w:t>
      </w:r>
      <w:r>
        <w:rPr/>
        <w:t>indexed biannually, </w:t>
      </w:r>
      <w:r>
        <w:rPr>
          <w:spacing w:val="-3"/>
        </w:rPr>
        <w:t>in </w:t>
      </w:r>
      <w:r>
        <w:rPr/>
        <w:t>February and August, to the Consumer Price Index (CPI). The new rates are determined by the application of an indexation factor.  This indexation factor </w:t>
      </w:r>
      <w:r>
        <w:rPr>
          <w:spacing w:val="-3"/>
        </w:rPr>
        <w:t>is </w:t>
      </w:r>
      <w:r>
        <w:rPr/>
        <w:t>calculated by dividing the </w:t>
      </w:r>
      <w:r>
        <w:rPr>
          <w:spacing w:val="-3"/>
        </w:rPr>
        <w:t>most </w:t>
      </w:r>
      <w:r>
        <w:rPr/>
        <w:t>recent June or December Quarter CPI </w:t>
      </w:r>
      <w:r>
        <w:rPr>
          <w:spacing w:val="-2"/>
        </w:rPr>
        <w:t>number </w:t>
      </w:r>
      <w:r>
        <w:rPr/>
        <w:t>by the previous highest June or December Quarter CPI number occurring after the June 1983</w:t>
      </w:r>
      <w:r>
        <w:rPr>
          <w:spacing w:val="12"/>
        </w:rPr>
        <w:t> </w:t>
      </w:r>
      <w:r>
        <w:rPr/>
        <w:t>Quarter.</w:t>
      </w:r>
    </w:p>
    <w:p>
      <w:pPr>
        <w:pStyle w:val="BodyText"/>
        <w:spacing w:before="2"/>
      </w:pPr>
    </w:p>
    <w:p>
      <w:pPr>
        <w:pStyle w:val="BodyText"/>
        <w:spacing w:line="237" w:lineRule="auto"/>
        <w:ind w:left="1147" w:right="1179"/>
      </w:pPr>
      <w:r>
        <w:rPr/>
        <w:t>On 25 January 2017, the Australian Bureau of Statistics released the December 2016 Quarter figure (110.0).</w:t>
      </w:r>
    </w:p>
    <w:p>
      <w:pPr>
        <w:pStyle w:val="BodyText"/>
        <w:spacing w:before="1"/>
      </w:pPr>
    </w:p>
    <w:p>
      <w:pPr>
        <w:pStyle w:val="BodyText"/>
        <w:ind w:left="1147"/>
      </w:pPr>
      <w:r>
        <w:rPr/>
        <w:t>The figures used to calculate the indexation factor for February 2017 are set out in the table below:</w:t>
      </w:r>
    </w:p>
    <w:p>
      <w:pPr>
        <w:pStyle w:val="BodyText"/>
        <w:spacing w:before="8"/>
      </w:pPr>
    </w:p>
    <w:tbl>
      <w:tblPr>
        <w:tblW w:w="0" w:type="auto"/>
        <w:jc w:val="left"/>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9"/>
        <w:gridCol w:w="3384"/>
        <w:gridCol w:w="3384"/>
      </w:tblGrid>
      <w:tr>
        <w:trPr>
          <w:trHeight w:val="551" w:hRule="atLeast"/>
        </w:trPr>
        <w:tc>
          <w:tcPr>
            <w:tcW w:w="3379" w:type="dxa"/>
          </w:tcPr>
          <w:p>
            <w:pPr>
              <w:pStyle w:val="TableParagraph"/>
              <w:spacing w:line="268" w:lineRule="exact"/>
              <w:ind w:left="481" w:right="481"/>
              <w:jc w:val="center"/>
              <w:rPr>
                <w:sz w:val="24"/>
              </w:rPr>
            </w:pPr>
            <w:r>
              <w:rPr>
                <w:sz w:val="24"/>
              </w:rPr>
              <w:t>Most recent CPI number</w:t>
            </w:r>
          </w:p>
        </w:tc>
        <w:tc>
          <w:tcPr>
            <w:tcW w:w="3384" w:type="dxa"/>
          </w:tcPr>
          <w:p>
            <w:pPr>
              <w:pStyle w:val="TableParagraph"/>
              <w:spacing w:line="268" w:lineRule="exact"/>
              <w:ind w:left="474" w:right="466"/>
              <w:jc w:val="center"/>
              <w:rPr>
                <w:sz w:val="24"/>
              </w:rPr>
            </w:pPr>
            <w:r>
              <w:rPr>
                <w:sz w:val="24"/>
              </w:rPr>
              <w:t>Highest previous June or</w:t>
            </w:r>
          </w:p>
          <w:p>
            <w:pPr>
              <w:pStyle w:val="TableParagraph"/>
              <w:spacing w:line="261" w:lineRule="exact" w:before="2"/>
              <w:ind w:left="474" w:right="462"/>
              <w:jc w:val="center"/>
              <w:rPr>
                <w:sz w:val="24"/>
              </w:rPr>
            </w:pPr>
            <w:r>
              <w:rPr>
                <w:sz w:val="24"/>
              </w:rPr>
              <w:t>December Quarter</w:t>
            </w:r>
          </w:p>
        </w:tc>
        <w:tc>
          <w:tcPr>
            <w:tcW w:w="3384" w:type="dxa"/>
            <w:vMerge w:val="restart"/>
          </w:tcPr>
          <w:p>
            <w:pPr>
              <w:pStyle w:val="TableParagraph"/>
              <w:spacing w:line="242" w:lineRule="auto"/>
              <w:ind w:left="1180" w:right="1164"/>
              <w:jc w:val="center"/>
              <w:rPr>
                <w:sz w:val="24"/>
              </w:rPr>
            </w:pPr>
            <w:r>
              <w:rPr>
                <w:sz w:val="24"/>
              </w:rPr>
              <w:t>Indexation factor</w:t>
            </w:r>
          </w:p>
        </w:tc>
      </w:tr>
      <w:tr>
        <w:trPr>
          <w:trHeight w:val="278" w:hRule="atLeast"/>
        </w:trPr>
        <w:tc>
          <w:tcPr>
            <w:tcW w:w="3379" w:type="dxa"/>
          </w:tcPr>
          <w:p>
            <w:pPr>
              <w:pStyle w:val="TableParagraph"/>
              <w:spacing w:line="258" w:lineRule="exact"/>
              <w:ind w:left="481" w:right="472"/>
              <w:jc w:val="center"/>
              <w:rPr>
                <w:sz w:val="24"/>
              </w:rPr>
            </w:pPr>
            <w:r>
              <w:rPr>
                <w:sz w:val="24"/>
              </w:rPr>
              <w:t>December Quarter 2016</w:t>
            </w:r>
          </w:p>
        </w:tc>
        <w:tc>
          <w:tcPr>
            <w:tcW w:w="3384" w:type="dxa"/>
          </w:tcPr>
          <w:p>
            <w:pPr>
              <w:pStyle w:val="TableParagraph"/>
              <w:spacing w:line="258" w:lineRule="exact"/>
              <w:ind w:left="474" w:right="460"/>
              <w:jc w:val="center"/>
              <w:rPr>
                <w:sz w:val="24"/>
              </w:rPr>
            </w:pPr>
            <w:r>
              <w:rPr>
                <w:sz w:val="24"/>
              </w:rPr>
              <w:t>June Quarter 2016</w:t>
            </w:r>
          </w:p>
        </w:tc>
        <w:tc>
          <w:tcPr>
            <w:tcW w:w="3384" w:type="dxa"/>
            <w:vMerge/>
            <w:tcBorders>
              <w:top w:val="nil"/>
            </w:tcBorders>
          </w:tcPr>
          <w:p>
            <w:pPr>
              <w:rPr>
                <w:sz w:val="2"/>
                <w:szCs w:val="2"/>
              </w:rPr>
            </w:pPr>
          </w:p>
        </w:tc>
      </w:tr>
      <w:tr>
        <w:trPr>
          <w:trHeight w:val="277" w:hRule="atLeast"/>
        </w:trPr>
        <w:tc>
          <w:tcPr>
            <w:tcW w:w="3379" w:type="dxa"/>
          </w:tcPr>
          <w:p>
            <w:pPr>
              <w:pStyle w:val="TableParagraph"/>
              <w:spacing w:line="258" w:lineRule="exact"/>
              <w:ind w:left="481" w:right="467"/>
              <w:jc w:val="center"/>
              <w:rPr>
                <w:sz w:val="24"/>
              </w:rPr>
            </w:pPr>
            <w:r>
              <w:rPr>
                <w:sz w:val="24"/>
              </w:rPr>
              <w:t>110.0</w:t>
            </w:r>
          </w:p>
        </w:tc>
        <w:tc>
          <w:tcPr>
            <w:tcW w:w="3384" w:type="dxa"/>
          </w:tcPr>
          <w:p>
            <w:pPr>
              <w:pStyle w:val="TableParagraph"/>
              <w:spacing w:line="258" w:lineRule="exact"/>
              <w:ind w:left="474" w:right="455"/>
              <w:jc w:val="center"/>
              <w:rPr>
                <w:sz w:val="24"/>
              </w:rPr>
            </w:pPr>
            <w:r>
              <w:rPr>
                <w:sz w:val="24"/>
              </w:rPr>
              <w:t>108.6</w:t>
            </w:r>
          </w:p>
        </w:tc>
        <w:tc>
          <w:tcPr>
            <w:tcW w:w="3384" w:type="dxa"/>
          </w:tcPr>
          <w:p>
            <w:pPr>
              <w:pStyle w:val="TableParagraph"/>
              <w:spacing w:line="258" w:lineRule="exact"/>
              <w:ind w:left="474" w:right="455"/>
              <w:jc w:val="center"/>
              <w:rPr>
                <w:sz w:val="24"/>
              </w:rPr>
            </w:pPr>
            <w:r>
              <w:rPr>
                <w:sz w:val="24"/>
              </w:rPr>
              <w:t>1.013</w:t>
            </w:r>
          </w:p>
        </w:tc>
      </w:tr>
    </w:tbl>
    <w:p>
      <w:pPr>
        <w:pStyle w:val="BodyText"/>
        <w:spacing w:before="1"/>
        <w:rPr>
          <w:sz w:val="23"/>
        </w:rPr>
      </w:pPr>
    </w:p>
    <w:p>
      <w:pPr>
        <w:pStyle w:val="BodyText"/>
        <w:ind w:left="1147" w:right="830"/>
      </w:pPr>
      <w:r>
        <w:rPr/>
        <w:t>As the indexation factor for February 2017 (1.013) is greater than one, certain rates of customs duty for excise-equivalent goods, in Schedule 3 to the Customs Tariff, will be increased by the application of this factor.</w:t>
      </w:r>
    </w:p>
    <w:p>
      <w:pPr>
        <w:pStyle w:val="BodyText"/>
      </w:pPr>
    </w:p>
    <w:p>
      <w:pPr>
        <w:pStyle w:val="BodyText"/>
        <w:ind w:left="1147" w:right="1025"/>
        <w:jc w:val="both"/>
      </w:pPr>
      <w:r>
        <w:rPr/>
        <w:t>The rates of customs duty for excise-equivalent goods, operative from 1 February 2017, are set out in Table 1 and supersede the rates outlined in Department of Immigration and Border Protection Notice 2016/25.</w:t>
      </w:r>
    </w:p>
    <w:p>
      <w:pPr>
        <w:pStyle w:val="BodyText"/>
      </w:pPr>
    </w:p>
    <w:p>
      <w:pPr>
        <w:pStyle w:val="BodyText"/>
        <w:ind w:left="1147" w:right="999"/>
      </w:pPr>
      <w:r>
        <w:rPr/>
        <w:t>As a result of the 2017 Harmonized System changes, subheadings 2204.22.30 and 2204.22.90 were created and subheadings 3824.90.50 and 3824.90.60 were repealed and replaced with 3824.99.30 and 3824.99.40 respectively. These amendments are reflected in Table 1.</w:t>
      </w:r>
    </w:p>
    <w:p>
      <w:pPr>
        <w:spacing w:after="0"/>
        <w:sectPr>
          <w:type w:val="continuous"/>
          <w:pgSz w:w="11910" w:h="16840"/>
          <w:pgMar w:top="600" w:bottom="280" w:left="0" w:right="0"/>
        </w:sectPr>
      </w:pPr>
    </w:p>
    <w:p>
      <w:pPr>
        <w:pStyle w:val="BodyText"/>
        <w:rPr>
          <w:sz w:val="16"/>
        </w:rPr>
      </w:pPr>
    </w:p>
    <w:p>
      <w:pPr>
        <w:pStyle w:val="BodyText"/>
        <w:spacing w:before="90"/>
        <w:ind w:left="1147"/>
      </w:pPr>
      <w:r>
        <w:rPr/>
        <w:t>The rates referenced above also apply to goods subject to indexation in:</w:t>
      </w:r>
    </w:p>
    <w:p>
      <w:pPr>
        <w:pStyle w:val="ListParagraph"/>
        <w:numPr>
          <w:ilvl w:val="0"/>
          <w:numId w:val="1"/>
        </w:numPr>
        <w:tabs>
          <w:tab w:pos="1867" w:val="left" w:leader="none"/>
          <w:tab w:pos="1868" w:val="left" w:leader="none"/>
        </w:tabs>
        <w:spacing w:line="240" w:lineRule="auto" w:before="21" w:after="0"/>
        <w:ind w:left="1867" w:right="0" w:hanging="361"/>
        <w:jc w:val="left"/>
        <w:rPr>
          <w:sz w:val="24"/>
        </w:rPr>
      </w:pPr>
      <w:r>
        <w:rPr>
          <w:sz w:val="24"/>
        </w:rPr>
        <w:t>Schedule 5 (US originating</w:t>
      </w:r>
      <w:r>
        <w:rPr>
          <w:spacing w:val="2"/>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6 (Thai originating</w:t>
      </w:r>
      <w:r>
        <w:rPr>
          <w:spacing w:val="-3"/>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7 (Chilean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5" w:after="0"/>
        <w:ind w:left="1867" w:right="0" w:hanging="361"/>
        <w:jc w:val="left"/>
        <w:rPr>
          <w:sz w:val="24"/>
        </w:rPr>
      </w:pPr>
      <w:r>
        <w:rPr>
          <w:sz w:val="24"/>
        </w:rPr>
        <w:t>Schedule 8 (ASEAN-Australia-New Zealand originating</w:t>
      </w:r>
      <w:r>
        <w:rPr>
          <w:spacing w:val="10"/>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9 (Malaysian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10 (Korean originating</w:t>
      </w:r>
      <w:r>
        <w:rPr>
          <w:spacing w:val="1"/>
          <w:sz w:val="24"/>
        </w:rPr>
        <w:t> </w:t>
      </w:r>
      <w:r>
        <w:rPr>
          <w:sz w:val="24"/>
        </w:rPr>
        <w:t>goods)</w:t>
      </w:r>
    </w:p>
    <w:p>
      <w:pPr>
        <w:pStyle w:val="ListParagraph"/>
        <w:numPr>
          <w:ilvl w:val="0"/>
          <w:numId w:val="1"/>
        </w:numPr>
        <w:tabs>
          <w:tab w:pos="1867" w:val="left" w:leader="none"/>
          <w:tab w:pos="1868" w:val="left" w:leader="none"/>
        </w:tabs>
        <w:spacing w:line="240" w:lineRule="auto" w:before="16" w:after="0"/>
        <w:ind w:left="1867" w:right="0" w:hanging="361"/>
        <w:jc w:val="left"/>
        <w:rPr>
          <w:sz w:val="24"/>
        </w:rPr>
      </w:pPr>
      <w:r>
        <w:rPr>
          <w:sz w:val="24"/>
        </w:rPr>
        <w:t>Schedule 11 (Japanese originating goods)</w:t>
      </w:r>
      <w:r>
        <w:rPr>
          <w:spacing w:val="4"/>
          <w:sz w:val="24"/>
        </w:rPr>
        <w:t> </w:t>
      </w:r>
      <w:r>
        <w:rPr>
          <w:spacing w:val="-4"/>
          <w:sz w:val="24"/>
        </w:rPr>
        <w:t>and</w:t>
      </w:r>
    </w:p>
    <w:p>
      <w:pPr>
        <w:pStyle w:val="ListParagraph"/>
        <w:numPr>
          <w:ilvl w:val="0"/>
          <w:numId w:val="1"/>
        </w:numPr>
        <w:tabs>
          <w:tab w:pos="1867" w:val="left" w:leader="none"/>
          <w:tab w:pos="1868" w:val="left" w:leader="none"/>
        </w:tabs>
        <w:spacing w:line="240" w:lineRule="auto" w:before="15" w:after="0"/>
        <w:ind w:left="1867" w:right="0" w:hanging="361"/>
        <w:jc w:val="left"/>
        <w:rPr>
          <w:sz w:val="24"/>
        </w:rPr>
      </w:pPr>
      <w:r>
        <w:rPr>
          <w:sz w:val="24"/>
        </w:rPr>
        <w:t>Schedule 12 (Chinese originating goods) </w:t>
      </w:r>
      <w:r>
        <w:rPr>
          <w:spacing w:val="-3"/>
          <w:sz w:val="24"/>
        </w:rPr>
        <w:t>in </w:t>
      </w:r>
      <w:r>
        <w:rPr>
          <w:sz w:val="24"/>
        </w:rPr>
        <w:t>the Customs</w:t>
      </w:r>
      <w:r>
        <w:rPr>
          <w:spacing w:val="7"/>
          <w:sz w:val="24"/>
        </w:rPr>
        <w:t> </w:t>
      </w:r>
      <w:r>
        <w:rPr>
          <w:sz w:val="24"/>
        </w:rPr>
        <w:t>Tariff.</w:t>
      </w:r>
    </w:p>
    <w:p>
      <w:pPr>
        <w:pStyle w:val="BodyText"/>
      </w:pPr>
    </w:p>
    <w:p>
      <w:pPr>
        <w:pStyle w:val="BodyText"/>
        <w:ind w:left="1147" w:right="726"/>
      </w:pPr>
      <w:r>
        <w:rPr/>
        <w:t>The Department of Immigration and Border Protection (the Department) will arrange for the publication of a Notice of Substituted Rates of Customs Duty for excise-equivalent goods, Notice (No.1) 2017, in the </w:t>
      </w:r>
      <w:r>
        <w:rPr>
          <w:i/>
        </w:rPr>
        <w:t>Gazette</w:t>
      </w:r>
      <w:r>
        <w:rPr/>
        <w:t>.</w:t>
      </w:r>
    </w:p>
    <w:p>
      <w:pPr>
        <w:pStyle w:val="BodyText"/>
        <w:spacing w:before="3"/>
      </w:pPr>
    </w:p>
    <w:p>
      <w:pPr>
        <w:pStyle w:val="BodyText"/>
        <w:spacing w:line="237" w:lineRule="auto"/>
        <w:ind w:left="1147" w:right="959"/>
      </w:pPr>
      <w:r>
        <w:rPr/>
        <w:t>The Australian Taxation Office (ATO) will make equivalent changes to the rates of duty on the goods subject to excise outlined in Table 2. Further information can be found on the ATO website</w:t>
      </w:r>
    </w:p>
    <w:p>
      <w:pPr>
        <w:pStyle w:val="BodyText"/>
        <w:spacing w:before="3"/>
        <w:ind w:left="1147"/>
      </w:pPr>
      <w:r>
        <w:rPr/>
        <w:t>at: </w:t>
      </w:r>
      <w:hyperlink r:id="rId7">
        <w:r>
          <w:rPr>
            <w:color w:val="0000FF"/>
            <w:u w:val="single" w:color="0000FF"/>
          </w:rPr>
          <w:t>ato.gov.au/alcoholexciserates</w:t>
        </w:r>
        <w:r>
          <w:rPr>
            <w:color w:val="0000FF"/>
          </w:rPr>
          <w:t> </w:t>
        </w:r>
      </w:hyperlink>
      <w:r>
        <w:rPr/>
        <w:t>and </w:t>
      </w:r>
      <w:hyperlink r:id="rId8">
        <w:r>
          <w:rPr>
            <w:color w:val="0000FF"/>
            <w:u w:val="single" w:color="0000FF"/>
          </w:rPr>
          <w:t>ato.gov.au/fuelexciserates</w:t>
        </w:r>
        <w:r>
          <w:rPr/>
          <w:t>.</w:t>
        </w:r>
      </w:hyperlink>
    </w:p>
    <w:p>
      <w:pPr>
        <w:pStyle w:val="BodyText"/>
        <w:spacing w:before="2"/>
        <w:rPr>
          <w:sz w:val="16"/>
        </w:rPr>
      </w:pPr>
    </w:p>
    <w:p>
      <w:pPr>
        <w:pStyle w:val="BodyText"/>
        <w:spacing w:before="90"/>
        <w:ind w:left="1147"/>
      </w:pPr>
      <w:r>
        <w:rPr/>
        <w:t>Please direct any inquiries concerning these matters to the following contacts:</w:t>
      </w:r>
    </w:p>
    <w:p>
      <w:pPr>
        <w:pStyle w:val="BodyText"/>
        <w:spacing w:before="10"/>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0"/>
        <w:gridCol w:w="4052"/>
      </w:tblGrid>
      <w:tr>
        <w:trPr>
          <w:trHeight w:val="2286" w:hRule="atLeast"/>
        </w:trPr>
        <w:tc>
          <w:tcPr>
            <w:tcW w:w="4360" w:type="dxa"/>
          </w:tcPr>
          <w:p>
            <w:pPr>
              <w:pStyle w:val="TableParagraph"/>
              <w:spacing w:line="266" w:lineRule="exact"/>
              <w:ind w:left="204"/>
              <w:rPr>
                <w:sz w:val="24"/>
              </w:rPr>
            </w:pPr>
            <w:r>
              <w:rPr>
                <w:sz w:val="24"/>
                <w:u w:val="single"/>
              </w:rPr>
              <w:t>for customs duty rates</w:t>
            </w:r>
          </w:p>
          <w:p>
            <w:pPr>
              <w:pStyle w:val="TableParagraph"/>
              <w:spacing w:line="242" w:lineRule="auto" w:before="89"/>
              <w:ind w:left="200" w:right="2400"/>
              <w:rPr>
                <w:sz w:val="24"/>
              </w:rPr>
            </w:pPr>
            <w:r>
              <w:rPr>
                <w:sz w:val="24"/>
              </w:rPr>
              <w:t>Assistant Director Trade Policy</w:t>
            </w:r>
          </w:p>
          <w:p>
            <w:pPr>
              <w:pStyle w:val="TableParagraph"/>
              <w:spacing w:line="242" w:lineRule="auto"/>
              <w:ind w:left="200" w:right="354"/>
              <w:rPr>
                <w:sz w:val="24"/>
              </w:rPr>
            </w:pPr>
            <w:r>
              <w:rPr>
                <w:sz w:val="24"/>
              </w:rPr>
              <w:t>Department of Immigration and Border Protection</w:t>
            </w:r>
          </w:p>
          <w:p>
            <w:pPr>
              <w:pStyle w:val="TableParagraph"/>
              <w:spacing w:line="271" w:lineRule="exact"/>
              <w:ind w:left="200"/>
              <w:rPr>
                <w:sz w:val="24"/>
              </w:rPr>
            </w:pPr>
            <w:r>
              <w:rPr>
                <w:sz w:val="24"/>
              </w:rPr>
              <w:t>5 Chan Street</w:t>
            </w:r>
          </w:p>
          <w:p>
            <w:pPr>
              <w:pStyle w:val="TableParagraph"/>
              <w:spacing w:line="275" w:lineRule="exact"/>
              <w:ind w:left="200"/>
              <w:rPr>
                <w:sz w:val="24"/>
              </w:rPr>
            </w:pPr>
            <w:r>
              <w:rPr>
                <w:sz w:val="24"/>
              </w:rPr>
              <w:t>BELCONNEN ACT 2615</w:t>
            </w:r>
          </w:p>
          <w:p>
            <w:pPr>
              <w:pStyle w:val="TableParagraph"/>
              <w:spacing w:line="255" w:lineRule="exact"/>
              <w:ind w:left="200"/>
              <w:rPr>
                <w:sz w:val="24"/>
              </w:rPr>
            </w:pPr>
            <w:r>
              <w:rPr>
                <w:sz w:val="24"/>
              </w:rPr>
              <w:t>Ph: (02) 6264 2143</w:t>
            </w:r>
          </w:p>
        </w:tc>
        <w:tc>
          <w:tcPr>
            <w:tcW w:w="4052" w:type="dxa"/>
          </w:tcPr>
          <w:p>
            <w:pPr>
              <w:pStyle w:val="TableParagraph"/>
              <w:spacing w:line="266" w:lineRule="exact"/>
              <w:ind w:left="380"/>
              <w:rPr>
                <w:sz w:val="24"/>
              </w:rPr>
            </w:pPr>
            <w:r>
              <w:rPr>
                <w:sz w:val="24"/>
                <w:u w:val="single"/>
              </w:rPr>
              <w:t>for excise duty rates</w:t>
            </w:r>
          </w:p>
          <w:p>
            <w:pPr>
              <w:pStyle w:val="TableParagraph"/>
              <w:spacing w:before="89"/>
              <w:ind w:left="376"/>
              <w:rPr>
                <w:sz w:val="24"/>
              </w:rPr>
            </w:pPr>
            <w:r>
              <w:rPr>
                <w:sz w:val="24"/>
              </w:rPr>
              <w:t>Director</w:t>
            </w:r>
          </w:p>
          <w:p>
            <w:pPr>
              <w:pStyle w:val="TableParagraph"/>
              <w:spacing w:before="2"/>
              <w:ind w:left="375"/>
              <w:rPr>
                <w:sz w:val="24"/>
              </w:rPr>
            </w:pPr>
            <w:r>
              <w:rPr>
                <w:sz w:val="24"/>
              </w:rPr>
              <w:t>Indirect Tax, Revenue Performance, Intelligence and Effectiveness Australian Taxation Office</w:t>
            </w:r>
          </w:p>
          <w:p>
            <w:pPr>
              <w:pStyle w:val="TableParagraph"/>
              <w:spacing w:line="274" w:lineRule="exact"/>
              <w:ind w:left="375"/>
              <w:rPr>
                <w:sz w:val="24"/>
              </w:rPr>
            </w:pPr>
            <w:r>
              <w:rPr>
                <w:sz w:val="24"/>
              </w:rPr>
              <w:t>21 Genge Street</w:t>
            </w:r>
          </w:p>
          <w:p>
            <w:pPr>
              <w:pStyle w:val="TableParagraph"/>
              <w:spacing w:line="275" w:lineRule="exact" w:before="2"/>
              <w:ind w:left="375"/>
              <w:rPr>
                <w:sz w:val="24"/>
              </w:rPr>
            </w:pPr>
            <w:r>
              <w:rPr>
                <w:sz w:val="24"/>
              </w:rPr>
              <w:t>CANBERRA ACT 2600</w:t>
            </w:r>
          </w:p>
          <w:p>
            <w:pPr>
              <w:pStyle w:val="TableParagraph"/>
              <w:spacing w:line="255" w:lineRule="exact"/>
              <w:ind w:left="375"/>
              <w:rPr>
                <w:sz w:val="24"/>
              </w:rPr>
            </w:pPr>
            <w:r>
              <w:rPr>
                <w:sz w:val="24"/>
              </w:rPr>
              <w:t>Ph: (02) 6216 1397</w:t>
            </w:r>
          </w:p>
        </w:tc>
      </w:tr>
    </w:tbl>
    <w:p>
      <w:pPr>
        <w:pStyle w:val="BodyText"/>
        <w:rPr>
          <w:sz w:val="26"/>
        </w:rPr>
      </w:pPr>
    </w:p>
    <w:p>
      <w:pPr>
        <w:pStyle w:val="BodyText"/>
        <w:spacing w:before="2"/>
        <w:rPr>
          <w:sz w:val="22"/>
        </w:rPr>
      </w:pPr>
    </w:p>
    <w:p>
      <w:pPr>
        <w:pStyle w:val="BodyText"/>
        <w:ind w:left="1147" w:right="810"/>
      </w:pPr>
      <w:r>
        <w:rPr/>
        <w:t>The working tariff, available on the Department’s website, will be updated to coincide with the commencement of the new customs duty rates. The working tariff can be accessed at: </w:t>
      </w:r>
      <w:hyperlink r:id="rId9">
        <w:r>
          <w:rPr>
            <w:color w:val="0000FF"/>
            <w:u w:val="single" w:color="0000FF"/>
          </w:rPr>
          <w:t>http://www.border.gov.au/Busi/cargo-support-trade-and-goods/importing-goods/tariff-classification-of-</w:t>
        </w:r>
      </w:hyperlink>
      <w:r>
        <w:rPr>
          <w:color w:val="0000FF"/>
        </w:rPr>
        <w:t> </w:t>
      </w:r>
      <w:hyperlink r:id="rId9">
        <w:r>
          <w:rPr>
            <w:color w:val="0000FF"/>
            <w:u w:val="single" w:color="0000FF"/>
          </w:rPr>
          <w:t>goods/current-tariff-classification</w:t>
        </w:r>
      </w:hyperlink>
    </w:p>
    <w:p>
      <w:pPr>
        <w:spacing w:after="0"/>
        <w:sectPr>
          <w:headerReference w:type="default" r:id="rId6"/>
          <w:pgSz w:w="11910" w:h="16840"/>
          <w:pgMar w:header="708" w:footer="0" w:top="920" w:bottom="280" w:left="0" w:right="0"/>
          <w:pgNumType w:start="2"/>
        </w:sectPr>
      </w:pPr>
    </w:p>
    <w:p>
      <w:pPr>
        <w:pStyle w:val="BodyText"/>
        <w:rPr>
          <w:sz w:val="16"/>
        </w:rPr>
      </w:pPr>
    </w:p>
    <w:p>
      <w:pPr>
        <w:pStyle w:val="BodyText"/>
        <w:spacing w:before="90"/>
        <w:ind w:left="1147"/>
      </w:pPr>
      <w:r>
        <w:rPr/>
        <w:t>The following Customs Tariff Working pages will be issued in connection with the CPI changes:</w:t>
      </w:r>
    </w:p>
    <w:p>
      <w:pPr>
        <w:pStyle w:val="BodyText"/>
        <w:spacing w:before="10" w:after="1"/>
      </w:pPr>
    </w:p>
    <w:tbl>
      <w:tblPr>
        <w:tblW w:w="0" w:type="auto"/>
        <w:jc w:val="left"/>
        <w:tblInd w:w="1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4"/>
        <w:gridCol w:w="2181"/>
        <w:gridCol w:w="2181"/>
        <w:gridCol w:w="1934"/>
      </w:tblGrid>
      <w:tr>
        <w:trPr>
          <w:trHeight w:val="272" w:hRule="atLeast"/>
        </w:trPr>
        <w:tc>
          <w:tcPr>
            <w:tcW w:w="1934" w:type="dxa"/>
          </w:tcPr>
          <w:p>
            <w:pPr>
              <w:pStyle w:val="TableParagraph"/>
              <w:spacing w:line="252" w:lineRule="exact"/>
              <w:ind w:left="200"/>
              <w:rPr>
                <w:sz w:val="24"/>
              </w:rPr>
            </w:pPr>
            <w:r>
              <w:rPr>
                <w:sz w:val="24"/>
                <w:u w:val="single"/>
              </w:rPr>
              <w:t>Schedule 3</w:t>
            </w:r>
          </w:p>
        </w:tc>
        <w:tc>
          <w:tcPr>
            <w:tcW w:w="2181" w:type="dxa"/>
          </w:tcPr>
          <w:p>
            <w:pPr>
              <w:pStyle w:val="TableParagraph"/>
              <w:ind w:left="0"/>
              <w:rPr>
                <w:sz w:val="20"/>
              </w:rPr>
            </w:pPr>
          </w:p>
        </w:tc>
        <w:tc>
          <w:tcPr>
            <w:tcW w:w="2181" w:type="dxa"/>
          </w:tcPr>
          <w:p>
            <w:pPr>
              <w:pStyle w:val="TableParagraph"/>
              <w:ind w:left="0"/>
              <w:rPr>
                <w:sz w:val="20"/>
              </w:rPr>
            </w:pPr>
          </w:p>
        </w:tc>
        <w:tc>
          <w:tcPr>
            <w:tcW w:w="1934" w:type="dxa"/>
          </w:tcPr>
          <w:p>
            <w:pPr>
              <w:pStyle w:val="TableParagraph"/>
              <w:ind w:left="0"/>
              <w:rPr>
                <w:sz w:val="20"/>
              </w:rPr>
            </w:pPr>
          </w:p>
        </w:tc>
      </w:tr>
      <w:tr>
        <w:trPr>
          <w:trHeight w:val="275" w:hRule="atLeast"/>
        </w:trPr>
        <w:tc>
          <w:tcPr>
            <w:tcW w:w="1934" w:type="dxa"/>
          </w:tcPr>
          <w:p>
            <w:pPr>
              <w:pStyle w:val="TableParagraph"/>
              <w:spacing w:line="256" w:lineRule="exact"/>
              <w:ind w:left="200"/>
              <w:rPr>
                <w:sz w:val="24"/>
              </w:rPr>
            </w:pPr>
            <w:r>
              <w:rPr>
                <w:sz w:val="24"/>
              </w:rPr>
              <w:t>22/5 (R. 49)</w:t>
            </w:r>
          </w:p>
        </w:tc>
        <w:tc>
          <w:tcPr>
            <w:tcW w:w="2181" w:type="dxa"/>
          </w:tcPr>
          <w:p>
            <w:pPr>
              <w:pStyle w:val="TableParagraph"/>
              <w:spacing w:line="256" w:lineRule="exact"/>
              <w:ind w:left="445"/>
              <w:rPr>
                <w:sz w:val="24"/>
              </w:rPr>
            </w:pPr>
            <w:r>
              <w:rPr>
                <w:sz w:val="24"/>
              </w:rPr>
              <w:t>22/7 (R. 48)</w:t>
            </w:r>
          </w:p>
        </w:tc>
        <w:tc>
          <w:tcPr>
            <w:tcW w:w="2181" w:type="dxa"/>
          </w:tcPr>
          <w:p>
            <w:pPr>
              <w:pStyle w:val="TableParagraph"/>
              <w:spacing w:line="256" w:lineRule="exact"/>
              <w:ind w:left="448"/>
              <w:rPr>
                <w:sz w:val="24"/>
              </w:rPr>
            </w:pPr>
            <w:r>
              <w:rPr>
                <w:sz w:val="24"/>
              </w:rPr>
              <w:t>22/9 (R. 48)</w:t>
            </w:r>
          </w:p>
        </w:tc>
        <w:tc>
          <w:tcPr>
            <w:tcW w:w="1934" w:type="dxa"/>
          </w:tcPr>
          <w:p>
            <w:pPr>
              <w:pStyle w:val="TableParagraph"/>
              <w:spacing w:line="256" w:lineRule="exact"/>
              <w:ind w:left="446"/>
              <w:rPr>
                <w:sz w:val="24"/>
              </w:rPr>
            </w:pPr>
            <w:r>
              <w:rPr>
                <w:sz w:val="24"/>
              </w:rPr>
              <w:t>22/11 (R. 39)</w:t>
            </w:r>
          </w:p>
        </w:tc>
      </w:tr>
      <w:tr>
        <w:trPr>
          <w:trHeight w:val="275" w:hRule="atLeast"/>
        </w:trPr>
        <w:tc>
          <w:tcPr>
            <w:tcW w:w="1934" w:type="dxa"/>
          </w:tcPr>
          <w:p>
            <w:pPr>
              <w:pStyle w:val="TableParagraph"/>
              <w:spacing w:line="256" w:lineRule="exact"/>
              <w:ind w:left="200"/>
              <w:rPr>
                <w:sz w:val="24"/>
              </w:rPr>
            </w:pPr>
            <w:r>
              <w:rPr>
                <w:sz w:val="24"/>
              </w:rPr>
              <w:t>22/13 (R. 41)</w:t>
            </w:r>
          </w:p>
        </w:tc>
        <w:tc>
          <w:tcPr>
            <w:tcW w:w="2181" w:type="dxa"/>
          </w:tcPr>
          <w:p>
            <w:pPr>
              <w:pStyle w:val="TableParagraph"/>
              <w:spacing w:line="256" w:lineRule="exact"/>
              <w:ind w:left="445"/>
              <w:rPr>
                <w:sz w:val="24"/>
              </w:rPr>
            </w:pPr>
            <w:r>
              <w:rPr>
                <w:sz w:val="24"/>
              </w:rPr>
              <w:t>22/15 (R. 38)</w:t>
            </w:r>
          </w:p>
        </w:tc>
        <w:tc>
          <w:tcPr>
            <w:tcW w:w="2181" w:type="dxa"/>
          </w:tcPr>
          <w:p>
            <w:pPr>
              <w:pStyle w:val="TableParagraph"/>
              <w:spacing w:line="256" w:lineRule="exact"/>
              <w:ind w:left="448"/>
              <w:rPr>
                <w:sz w:val="24"/>
              </w:rPr>
            </w:pPr>
            <w:r>
              <w:rPr>
                <w:sz w:val="24"/>
              </w:rPr>
              <w:t>22/17 (R. 40)</w:t>
            </w:r>
          </w:p>
        </w:tc>
        <w:tc>
          <w:tcPr>
            <w:tcW w:w="1934" w:type="dxa"/>
          </w:tcPr>
          <w:p>
            <w:pPr>
              <w:pStyle w:val="TableParagraph"/>
              <w:spacing w:line="256" w:lineRule="exact"/>
              <w:ind w:left="446"/>
              <w:rPr>
                <w:sz w:val="24"/>
              </w:rPr>
            </w:pPr>
            <w:r>
              <w:rPr>
                <w:sz w:val="24"/>
              </w:rPr>
              <w:t>22/19 (R. 42)</w:t>
            </w:r>
          </w:p>
        </w:tc>
      </w:tr>
      <w:tr>
        <w:trPr>
          <w:trHeight w:val="275" w:hRule="atLeast"/>
        </w:trPr>
        <w:tc>
          <w:tcPr>
            <w:tcW w:w="1934" w:type="dxa"/>
          </w:tcPr>
          <w:p>
            <w:pPr>
              <w:pStyle w:val="TableParagraph"/>
              <w:spacing w:line="256" w:lineRule="exact"/>
              <w:ind w:left="200"/>
              <w:rPr>
                <w:sz w:val="24"/>
              </w:rPr>
            </w:pPr>
            <w:r>
              <w:rPr>
                <w:sz w:val="24"/>
              </w:rPr>
              <w:t>22/21 (R. 37)</w:t>
            </w:r>
          </w:p>
        </w:tc>
        <w:tc>
          <w:tcPr>
            <w:tcW w:w="2181" w:type="dxa"/>
          </w:tcPr>
          <w:p>
            <w:pPr>
              <w:pStyle w:val="TableParagraph"/>
              <w:spacing w:line="256" w:lineRule="exact"/>
              <w:ind w:left="445"/>
              <w:rPr>
                <w:sz w:val="24"/>
              </w:rPr>
            </w:pPr>
            <w:r>
              <w:rPr>
                <w:sz w:val="24"/>
              </w:rPr>
              <w:t>22/23 (R. 20)</w:t>
            </w:r>
          </w:p>
        </w:tc>
        <w:tc>
          <w:tcPr>
            <w:tcW w:w="2181" w:type="dxa"/>
          </w:tcPr>
          <w:p>
            <w:pPr>
              <w:pStyle w:val="TableParagraph"/>
              <w:spacing w:line="256" w:lineRule="exact"/>
              <w:ind w:left="448"/>
              <w:rPr>
                <w:sz w:val="24"/>
              </w:rPr>
            </w:pPr>
            <w:r>
              <w:rPr>
                <w:sz w:val="24"/>
              </w:rPr>
              <w:t>27/5 (R. 34)</w:t>
            </w:r>
          </w:p>
        </w:tc>
        <w:tc>
          <w:tcPr>
            <w:tcW w:w="1934" w:type="dxa"/>
          </w:tcPr>
          <w:p>
            <w:pPr>
              <w:pStyle w:val="TableParagraph"/>
              <w:spacing w:line="256" w:lineRule="exact"/>
              <w:ind w:left="446"/>
              <w:rPr>
                <w:sz w:val="24"/>
              </w:rPr>
            </w:pPr>
            <w:r>
              <w:rPr>
                <w:sz w:val="24"/>
              </w:rPr>
              <w:t>27/7 (R. 33)</w:t>
            </w:r>
          </w:p>
        </w:tc>
      </w:tr>
      <w:tr>
        <w:trPr>
          <w:trHeight w:val="276" w:hRule="atLeast"/>
        </w:trPr>
        <w:tc>
          <w:tcPr>
            <w:tcW w:w="1934" w:type="dxa"/>
          </w:tcPr>
          <w:p>
            <w:pPr>
              <w:pStyle w:val="TableParagraph"/>
              <w:spacing w:line="256" w:lineRule="exact"/>
              <w:ind w:left="200"/>
              <w:rPr>
                <w:sz w:val="24"/>
              </w:rPr>
            </w:pPr>
            <w:r>
              <w:rPr>
                <w:sz w:val="24"/>
              </w:rPr>
              <w:t>27/9 (R. 26)</w:t>
            </w:r>
          </w:p>
        </w:tc>
        <w:tc>
          <w:tcPr>
            <w:tcW w:w="2181" w:type="dxa"/>
          </w:tcPr>
          <w:p>
            <w:pPr>
              <w:pStyle w:val="TableParagraph"/>
              <w:spacing w:line="256" w:lineRule="exact"/>
              <w:ind w:left="445"/>
              <w:rPr>
                <w:sz w:val="24"/>
              </w:rPr>
            </w:pPr>
            <w:r>
              <w:rPr>
                <w:sz w:val="24"/>
              </w:rPr>
              <w:t>27/11 (R. 19)</w:t>
            </w:r>
          </w:p>
        </w:tc>
        <w:tc>
          <w:tcPr>
            <w:tcW w:w="2181" w:type="dxa"/>
          </w:tcPr>
          <w:p>
            <w:pPr>
              <w:pStyle w:val="TableParagraph"/>
              <w:spacing w:line="256" w:lineRule="exact"/>
              <w:ind w:left="448"/>
              <w:rPr>
                <w:sz w:val="24"/>
              </w:rPr>
            </w:pPr>
            <w:r>
              <w:rPr>
                <w:sz w:val="24"/>
              </w:rPr>
              <w:t>27/13 (R. 19)</w:t>
            </w:r>
          </w:p>
        </w:tc>
        <w:tc>
          <w:tcPr>
            <w:tcW w:w="1934" w:type="dxa"/>
          </w:tcPr>
          <w:p>
            <w:pPr>
              <w:pStyle w:val="TableParagraph"/>
              <w:spacing w:line="256" w:lineRule="exact"/>
              <w:ind w:left="446"/>
              <w:rPr>
                <w:sz w:val="24"/>
              </w:rPr>
            </w:pPr>
            <w:r>
              <w:rPr>
                <w:sz w:val="24"/>
              </w:rPr>
              <w:t>27/15 (R. 14)</w:t>
            </w:r>
          </w:p>
        </w:tc>
      </w:tr>
      <w:tr>
        <w:trPr>
          <w:trHeight w:val="276" w:hRule="atLeast"/>
        </w:trPr>
        <w:tc>
          <w:tcPr>
            <w:tcW w:w="1934" w:type="dxa"/>
          </w:tcPr>
          <w:p>
            <w:pPr>
              <w:pStyle w:val="TableParagraph"/>
              <w:spacing w:line="256" w:lineRule="exact"/>
              <w:ind w:left="200"/>
              <w:rPr>
                <w:sz w:val="24"/>
              </w:rPr>
            </w:pPr>
            <w:r>
              <w:rPr>
                <w:sz w:val="24"/>
              </w:rPr>
              <w:t>27/17 (R. 14)</w:t>
            </w:r>
          </w:p>
        </w:tc>
        <w:tc>
          <w:tcPr>
            <w:tcW w:w="2181" w:type="dxa"/>
          </w:tcPr>
          <w:p>
            <w:pPr>
              <w:pStyle w:val="TableParagraph"/>
              <w:spacing w:line="256" w:lineRule="exact"/>
              <w:ind w:left="445"/>
              <w:rPr>
                <w:sz w:val="24"/>
              </w:rPr>
            </w:pPr>
            <w:r>
              <w:rPr>
                <w:sz w:val="24"/>
              </w:rPr>
              <w:t>27/19 (R. 13)</w:t>
            </w:r>
          </w:p>
        </w:tc>
        <w:tc>
          <w:tcPr>
            <w:tcW w:w="2181" w:type="dxa"/>
          </w:tcPr>
          <w:p>
            <w:pPr>
              <w:pStyle w:val="TableParagraph"/>
              <w:spacing w:line="256" w:lineRule="exact"/>
              <w:ind w:left="448"/>
              <w:rPr>
                <w:sz w:val="24"/>
              </w:rPr>
            </w:pPr>
            <w:r>
              <w:rPr>
                <w:sz w:val="24"/>
              </w:rPr>
              <w:t>27/21 (R. 12)</w:t>
            </w:r>
          </w:p>
        </w:tc>
        <w:tc>
          <w:tcPr>
            <w:tcW w:w="1934" w:type="dxa"/>
          </w:tcPr>
          <w:p>
            <w:pPr>
              <w:pStyle w:val="TableParagraph"/>
              <w:spacing w:line="256" w:lineRule="exact"/>
              <w:ind w:left="446"/>
              <w:rPr>
                <w:sz w:val="24"/>
              </w:rPr>
            </w:pPr>
            <w:r>
              <w:rPr>
                <w:sz w:val="24"/>
              </w:rPr>
              <w:t>27/23 (R. 9)</w:t>
            </w:r>
          </w:p>
        </w:tc>
      </w:tr>
      <w:tr>
        <w:trPr>
          <w:trHeight w:val="412" w:hRule="atLeast"/>
        </w:trPr>
        <w:tc>
          <w:tcPr>
            <w:tcW w:w="1934" w:type="dxa"/>
          </w:tcPr>
          <w:p>
            <w:pPr>
              <w:pStyle w:val="TableParagraph"/>
              <w:spacing w:line="270" w:lineRule="exact"/>
              <w:ind w:left="200"/>
              <w:rPr>
                <w:sz w:val="24"/>
              </w:rPr>
            </w:pPr>
            <w:r>
              <w:rPr>
                <w:sz w:val="24"/>
              </w:rPr>
              <w:t>29/7 (R. 22)</w:t>
            </w:r>
          </w:p>
        </w:tc>
        <w:tc>
          <w:tcPr>
            <w:tcW w:w="2181" w:type="dxa"/>
          </w:tcPr>
          <w:p>
            <w:pPr>
              <w:pStyle w:val="TableParagraph"/>
              <w:spacing w:line="270" w:lineRule="exact"/>
              <w:ind w:left="445"/>
              <w:rPr>
                <w:sz w:val="24"/>
              </w:rPr>
            </w:pPr>
            <w:r>
              <w:rPr>
                <w:sz w:val="24"/>
              </w:rPr>
              <w:t>38/11 (R. 14)</w:t>
            </w:r>
          </w:p>
        </w:tc>
        <w:tc>
          <w:tcPr>
            <w:tcW w:w="2181" w:type="dxa"/>
          </w:tcPr>
          <w:p>
            <w:pPr>
              <w:pStyle w:val="TableParagraph"/>
              <w:spacing w:line="270" w:lineRule="exact"/>
              <w:ind w:left="448"/>
              <w:rPr>
                <w:sz w:val="24"/>
              </w:rPr>
            </w:pPr>
            <w:r>
              <w:rPr>
                <w:sz w:val="24"/>
              </w:rPr>
              <w:t>38/15 (R. 12)</w:t>
            </w:r>
          </w:p>
        </w:tc>
        <w:tc>
          <w:tcPr>
            <w:tcW w:w="1934" w:type="dxa"/>
          </w:tcPr>
          <w:p>
            <w:pPr>
              <w:pStyle w:val="TableParagraph"/>
              <w:spacing w:line="270" w:lineRule="exact"/>
              <w:ind w:left="446"/>
              <w:rPr>
                <w:sz w:val="24"/>
              </w:rPr>
            </w:pPr>
            <w:r>
              <w:rPr>
                <w:sz w:val="24"/>
              </w:rPr>
              <w:t>38/17 (R. 8)</w:t>
            </w:r>
          </w:p>
        </w:tc>
      </w:tr>
      <w:tr>
        <w:trPr>
          <w:trHeight w:val="415" w:hRule="atLeast"/>
        </w:trPr>
        <w:tc>
          <w:tcPr>
            <w:tcW w:w="1934" w:type="dxa"/>
          </w:tcPr>
          <w:p>
            <w:pPr>
              <w:pStyle w:val="TableParagraph"/>
              <w:spacing w:line="262" w:lineRule="exact" w:before="133"/>
              <w:ind w:left="200"/>
              <w:rPr>
                <w:sz w:val="24"/>
              </w:rPr>
            </w:pPr>
            <w:r>
              <w:rPr>
                <w:sz w:val="24"/>
                <w:u w:val="single"/>
              </w:rPr>
              <w:t>Schedule 5</w:t>
            </w:r>
          </w:p>
        </w:tc>
        <w:tc>
          <w:tcPr>
            <w:tcW w:w="2181" w:type="dxa"/>
          </w:tcPr>
          <w:p>
            <w:pPr>
              <w:pStyle w:val="TableParagraph"/>
              <w:spacing w:line="262" w:lineRule="exact" w:before="133"/>
              <w:ind w:left="445"/>
              <w:rPr>
                <w:sz w:val="24"/>
              </w:rPr>
            </w:pPr>
            <w:r>
              <w:rPr>
                <w:sz w:val="24"/>
                <w:u w:val="single"/>
              </w:rPr>
              <w:t>Schedule 6</w:t>
            </w:r>
          </w:p>
        </w:tc>
        <w:tc>
          <w:tcPr>
            <w:tcW w:w="2181" w:type="dxa"/>
          </w:tcPr>
          <w:p>
            <w:pPr>
              <w:pStyle w:val="TableParagraph"/>
              <w:spacing w:line="262" w:lineRule="exact" w:before="133"/>
              <w:ind w:left="448"/>
              <w:rPr>
                <w:sz w:val="24"/>
              </w:rPr>
            </w:pPr>
            <w:r>
              <w:rPr>
                <w:sz w:val="24"/>
                <w:u w:val="single"/>
              </w:rPr>
              <w:t>Schedule 7</w:t>
            </w:r>
          </w:p>
        </w:tc>
        <w:tc>
          <w:tcPr>
            <w:tcW w:w="1934" w:type="dxa"/>
          </w:tcPr>
          <w:p>
            <w:pPr>
              <w:pStyle w:val="TableParagraph"/>
              <w:spacing w:line="262" w:lineRule="exact" w:before="133"/>
              <w:ind w:left="446"/>
              <w:rPr>
                <w:sz w:val="24"/>
              </w:rPr>
            </w:pPr>
            <w:r>
              <w:rPr>
                <w:sz w:val="24"/>
                <w:u w:val="single"/>
              </w:rPr>
              <w:t>Schedule 8</w:t>
            </w:r>
          </w:p>
        </w:tc>
      </w:tr>
      <w:tr>
        <w:trPr>
          <w:trHeight w:val="276" w:hRule="atLeast"/>
        </w:trPr>
        <w:tc>
          <w:tcPr>
            <w:tcW w:w="1934" w:type="dxa"/>
          </w:tcPr>
          <w:p>
            <w:pPr>
              <w:pStyle w:val="TableParagraph"/>
              <w:spacing w:line="256" w:lineRule="exact"/>
              <w:ind w:left="200"/>
              <w:rPr>
                <w:sz w:val="24"/>
              </w:rPr>
            </w:pPr>
            <w:r>
              <w:rPr>
                <w:sz w:val="24"/>
              </w:rPr>
              <w:t>5/1 (R. 30)</w:t>
            </w:r>
          </w:p>
        </w:tc>
        <w:tc>
          <w:tcPr>
            <w:tcW w:w="2181" w:type="dxa"/>
          </w:tcPr>
          <w:p>
            <w:pPr>
              <w:pStyle w:val="TableParagraph"/>
              <w:spacing w:line="256" w:lineRule="exact"/>
              <w:ind w:left="445"/>
              <w:rPr>
                <w:sz w:val="24"/>
              </w:rPr>
            </w:pPr>
            <w:r>
              <w:rPr>
                <w:sz w:val="24"/>
              </w:rPr>
              <w:t>6/1 (R. 29)</w:t>
            </w:r>
          </w:p>
        </w:tc>
        <w:tc>
          <w:tcPr>
            <w:tcW w:w="2181" w:type="dxa"/>
          </w:tcPr>
          <w:p>
            <w:pPr>
              <w:pStyle w:val="TableParagraph"/>
              <w:spacing w:line="256" w:lineRule="exact"/>
              <w:ind w:left="448"/>
              <w:rPr>
                <w:sz w:val="24"/>
              </w:rPr>
            </w:pPr>
            <w:r>
              <w:rPr>
                <w:sz w:val="24"/>
              </w:rPr>
              <w:t>7/1 (R. 18)</w:t>
            </w:r>
          </w:p>
        </w:tc>
        <w:tc>
          <w:tcPr>
            <w:tcW w:w="1934" w:type="dxa"/>
          </w:tcPr>
          <w:p>
            <w:pPr>
              <w:pStyle w:val="TableParagraph"/>
              <w:spacing w:line="256" w:lineRule="exact"/>
              <w:ind w:left="446"/>
              <w:rPr>
                <w:sz w:val="24"/>
              </w:rPr>
            </w:pPr>
            <w:r>
              <w:rPr>
                <w:sz w:val="24"/>
              </w:rPr>
              <w:t>8/1 (R. 16)</w:t>
            </w:r>
          </w:p>
        </w:tc>
      </w:tr>
      <w:tr>
        <w:trPr>
          <w:trHeight w:val="276" w:hRule="atLeast"/>
        </w:trPr>
        <w:tc>
          <w:tcPr>
            <w:tcW w:w="1934" w:type="dxa"/>
          </w:tcPr>
          <w:p>
            <w:pPr>
              <w:pStyle w:val="TableParagraph"/>
              <w:spacing w:line="256" w:lineRule="exact"/>
              <w:ind w:left="200"/>
              <w:rPr>
                <w:sz w:val="24"/>
              </w:rPr>
            </w:pPr>
            <w:r>
              <w:rPr>
                <w:sz w:val="24"/>
              </w:rPr>
              <w:t>5/3 (R. 47)</w:t>
            </w:r>
          </w:p>
        </w:tc>
        <w:tc>
          <w:tcPr>
            <w:tcW w:w="2181" w:type="dxa"/>
          </w:tcPr>
          <w:p>
            <w:pPr>
              <w:pStyle w:val="TableParagraph"/>
              <w:spacing w:line="256" w:lineRule="exact"/>
              <w:ind w:left="445"/>
              <w:rPr>
                <w:sz w:val="24"/>
              </w:rPr>
            </w:pPr>
            <w:r>
              <w:rPr>
                <w:sz w:val="24"/>
              </w:rPr>
              <w:t>6/3 (R. 46)</w:t>
            </w:r>
          </w:p>
        </w:tc>
        <w:tc>
          <w:tcPr>
            <w:tcW w:w="2181" w:type="dxa"/>
          </w:tcPr>
          <w:p>
            <w:pPr>
              <w:pStyle w:val="TableParagraph"/>
              <w:spacing w:line="256" w:lineRule="exact"/>
              <w:ind w:left="448"/>
              <w:rPr>
                <w:sz w:val="24"/>
              </w:rPr>
            </w:pPr>
            <w:r>
              <w:rPr>
                <w:sz w:val="24"/>
              </w:rPr>
              <w:t>7/3 (R. 30)</w:t>
            </w:r>
          </w:p>
        </w:tc>
        <w:tc>
          <w:tcPr>
            <w:tcW w:w="1934" w:type="dxa"/>
          </w:tcPr>
          <w:p>
            <w:pPr>
              <w:pStyle w:val="TableParagraph"/>
              <w:spacing w:line="256" w:lineRule="exact"/>
              <w:ind w:left="446"/>
              <w:rPr>
                <w:sz w:val="24"/>
              </w:rPr>
            </w:pPr>
            <w:r>
              <w:rPr>
                <w:sz w:val="24"/>
              </w:rPr>
              <w:t>8/3 (R. 32)</w:t>
            </w:r>
          </w:p>
        </w:tc>
      </w:tr>
      <w:tr>
        <w:trPr>
          <w:trHeight w:val="275" w:hRule="atLeast"/>
        </w:trPr>
        <w:tc>
          <w:tcPr>
            <w:tcW w:w="1934" w:type="dxa"/>
          </w:tcPr>
          <w:p>
            <w:pPr>
              <w:pStyle w:val="TableParagraph"/>
              <w:spacing w:line="256" w:lineRule="exact"/>
              <w:ind w:left="200"/>
              <w:rPr>
                <w:sz w:val="24"/>
              </w:rPr>
            </w:pPr>
            <w:r>
              <w:rPr>
                <w:sz w:val="24"/>
              </w:rPr>
              <w:t>5/5 (R. 17)</w:t>
            </w:r>
          </w:p>
        </w:tc>
        <w:tc>
          <w:tcPr>
            <w:tcW w:w="2181" w:type="dxa"/>
          </w:tcPr>
          <w:p>
            <w:pPr>
              <w:pStyle w:val="TableParagraph"/>
              <w:spacing w:line="256" w:lineRule="exact"/>
              <w:ind w:left="445"/>
              <w:rPr>
                <w:sz w:val="24"/>
              </w:rPr>
            </w:pPr>
            <w:r>
              <w:rPr>
                <w:sz w:val="24"/>
              </w:rPr>
              <w:t>6/5 (R. 17)</w:t>
            </w:r>
          </w:p>
        </w:tc>
        <w:tc>
          <w:tcPr>
            <w:tcW w:w="2181" w:type="dxa"/>
          </w:tcPr>
          <w:p>
            <w:pPr>
              <w:pStyle w:val="TableParagraph"/>
              <w:spacing w:line="256" w:lineRule="exact"/>
              <w:ind w:left="448"/>
              <w:rPr>
                <w:sz w:val="24"/>
              </w:rPr>
            </w:pPr>
            <w:r>
              <w:rPr>
                <w:sz w:val="24"/>
              </w:rPr>
              <w:t>7/5 (R. 13)</w:t>
            </w:r>
          </w:p>
        </w:tc>
        <w:tc>
          <w:tcPr>
            <w:tcW w:w="1934" w:type="dxa"/>
          </w:tcPr>
          <w:p>
            <w:pPr>
              <w:pStyle w:val="TableParagraph"/>
              <w:spacing w:line="256" w:lineRule="exact"/>
              <w:ind w:left="446"/>
              <w:rPr>
                <w:sz w:val="24"/>
              </w:rPr>
            </w:pPr>
            <w:r>
              <w:rPr>
                <w:sz w:val="24"/>
              </w:rPr>
              <w:t>8/5 (R. 13)</w:t>
            </w:r>
          </w:p>
        </w:tc>
      </w:tr>
      <w:tr>
        <w:trPr>
          <w:trHeight w:val="275" w:hRule="atLeast"/>
        </w:trPr>
        <w:tc>
          <w:tcPr>
            <w:tcW w:w="1934" w:type="dxa"/>
          </w:tcPr>
          <w:p>
            <w:pPr>
              <w:pStyle w:val="TableParagraph"/>
              <w:spacing w:line="256" w:lineRule="exact"/>
              <w:ind w:left="200"/>
              <w:rPr>
                <w:sz w:val="24"/>
              </w:rPr>
            </w:pPr>
            <w:r>
              <w:rPr>
                <w:sz w:val="24"/>
              </w:rPr>
              <w:t>5/7 (R. 12)</w:t>
            </w:r>
          </w:p>
        </w:tc>
        <w:tc>
          <w:tcPr>
            <w:tcW w:w="2181" w:type="dxa"/>
          </w:tcPr>
          <w:p>
            <w:pPr>
              <w:pStyle w:val="TableParagraph"/>
              <w:spacing w:line="256" w:lineRule="exact"/>
              <w:ind w:left="445"/>
              <w:rPr>
                <w:sz w:val="24"/>
              </w:rPr>
            </w:pPr>
            <w:r>
              <w:rPr>
                <w:sz w:val="24"/>
              </w:rPr>
              <w:t>6/7 (R. 12)</w:t>
            </w:r>
          </w:p>
        </w:tc>
        <w:tc>
          <w:tcPr>
            <w:tcW w:w="2181" w:type="dxa"/>
          </w:tcPr>
          <w:p>
            <w:pPr>
              <w:pStyle w:val="TableParagraph"/>
              <w:spacing w:line="256" w:lineRule="exact"/>
              <w:ind w:left="448"/>
              <w:rPr>
                <w:sz w:val="24"/>
              </w:rPr>
            </w:pPr>
            <w:r>
              <w:rPr>
                <w:sz w:val="24"/>
              </w:rPr>
              <w:t>7/6A (R. 13)</w:t>
            </w:r>
          </w:p>
        </w:tc>
        <w:tc>
          <w:tcPr>
            <w:tcW w:w="1934" w:type="dxa"/>
          </w:tcPr>
          <w:p>
            <w:pPr>
              <w:pStyle w:val="TableParagraph"/>
              <w:spacing w:line="256" w:lineRule="exact"/>
              <w:ind w:left="446"/>
              <w:rPr>
                <w:sz w:val="24"/>
              </w:rPr>
            </w:pPr>
            <w:r>
              <w:rPr>
                <w:sz w:val="24"/>
              </w:rPr>
              <w:t>8/7 (R. 9)</w:t>
            </w:r>
          </w:p>
        </w:tc>
      </w:tr>
      <w:tr>
        <w:trPr>
          <w:trHeight w:val="275" w:hRule="atLeast"/>
        </w:trPr>
        <w:tc>
          <w:tcPr>
            <w:tcW w:w="1934" w:type="dxa"/>
          </w:tcPr>
          <w:p>
            <w:pPr>
              <w:pStyle w:val="TableParagraph"/>
              <w:ind w:left="0"/>
              <w:rPr>
                <w:sz w:val="20"/>
              </w:rPr>
            </w:pPr>
          </w:p>
        </w:tc>
        <w:tc>
          <w:tcPr>
            <w:tcW w:w="2181" w:type="dxa"/>
          </w:tcPr>
          <w:p>
            <w:pPr>
              <w:pStyle w:val="TableParagraph"/>
              <w:spacing w:line="256" w:lineRule="exact"/>
              <w:ind w:left="445"/>
              <w:rPr>
                <w:sz w:val="24"/>
              </w:rPr>
            </w:pPr>
            <w:r>
              <w:rPr>
                <w:sz w:val="24"/>
              </w:rPr>
              <w:t>6/9 (R. 10)</w:t>
            </w:r>
          </w:p>
        </w:tc>
        <w:tc>
          <w:tcPr>
            <w:tcW w:w="2181" w:type="dxa"/>
          </w:tcPr>
          <w:p>
            <w:pPr>
              <w:pStyle w:val="TableParagraph"/>
              <w:ind w:left="0"/>
              <w:rPr>
                <w:sz w:val="20"/>
              </w:rPr>
            </w:pPr>
          </w:p>
        </w:tc>
        <w:tc>
          <w:tcPr>
            <w:tcW w:w="1934" w:type="dxa"/>
          </w:tcPr>
          <w:p>
            <w:pPr>
              <w:pStyle w:val="TableParagraph"/>
              <w:spacing w:line="256" w:lineRule="exact"/>
              <w:ind w:left="446"/>
              <w:rPr>
                <w:sz w:val="24"/>
              </w:rPr>
            </w:pPr>
            <w:r>
              <w:rPr>
                <w:sz w:val="24"/>
              </w:rPr>
              <w:t>8/8A (R. 9)</w:t>
            </w:r>
          </w:p>
        </w:tc>
      </w:tr>
      <w:tr>
        <w:trPr>
          <w:trHeight w:val="412" w:hRule="atLeast"/>
        </w:trPr>
        <w:tc>
          <w:tcPr>
            <w:tcW w:w="1934" w:type="dxa"/>
          </w:tcPr>
          <w:p>
            <w:pPr>
              <w:pStyle w:val="TableParagraph"/>
              <w:ind w:left="0"/>
              <w:rPr>
                <w:sz w:val="22"/>
              </w:rPr>
            </w:pPr>
          </w:p>
        </w:tc>
        <w:tc>
          <w:tcPr>
            <w:tcW w:w="2181" w:type="dxa"/>
          </w:tcPr>
          <w:p>
            <w:pPr>
              <w:pStyle w:val="TableParagraph"/>
              <w:ind w:left="0"/>
              <w:rPr>
                <w:sz w:val="22"/>
              </w:rPr>
            </w:pPr>
          </w:p>
        </w:tc>
        <w:tc>
          <w:tcPr>
            <w:tcW w:w="2181" w:type="dxa"/>
          </w:tcPr>
          <w:p>
            <w:pPr>
              <w:pStyle w:val="TableParagraph"/>
              <w:ind w:left="0"/>
              <w:rPr>
                <w:sz w:val="22"/>
              </w:rPr>
            </w:pPr>
          </w:p>
        </w:tc>
        <w:tc>
          <w:tcPr>
            <w:tcW w:w="1934" w:type="dxa"/>
          </w:tcPr>
          <w:p>
            <w:pPr>
              <w:pStyle w:val="TableParagraph"/>
              <w:spacing w:line="270" w:lineRule="exact"/>
              <w:ind w:left="446"/>
              <w:rPr>
                <w:sz w:val="24"/>
              </w:rPr>
            </w:pPr>
            <w:r>
              <w:rPr>
                <w:sz w:val="24"/>
              </w:rPr>
              <w:t>8/9 (R.2)</w:t>
            </w:r>
          </w:p>
        </w:tc>
      </w:tr>
      <w:tr>
        <w:trPr>
          <w:trHeight w:val="415" w:hRule="atLeast"/>
        </w:trPr>
        <w:tc>
          <w:tcPr>
            <w:tcW w:w="1934" w:type="dxa"/>
          </w:tcPr>
          <w:p>
            <w:pPr>
              <w:pStyle w:val="TableParagraph"/>
              <w:spacing w:line="262" w:lineRule="exact" w:before="133"/>
              <w:ind w:left="200"/>
              <w:rPr>
                <w:sz w:val="24"/>
              </w:rPr>
            </w:pPr>
            <w:r>
              <w:rPr>
                <w:sz w:val="24"/>
                <w:u w:val="single"/>
              </w:rPr>
              <w:t>Schedule 9</w:t>
            </w:r>
          </w:p>
        </w:tc>
        <w:tc>
          <w:tcPr>
            <w:tcW w:w="2181" w:type="dxa"/>
          </w:tcPr>
          <w:p>
            <w:pPr>
              <w:pStyle w:val="TableParagraph"/>
              <w:spacing w:line="262" w:lineRule="exact" w:before="133"/>
              <w:ind w:left="445"/>
              <w:rPr>
                <w:sz w:val="24"/>
              </w:rPr>
            </w:pPr>
            <w:r>
              <w:rPr>
                <w:sz w:val="24"/>
                <w:u w:val="single"/>
              </w:rPr>
              <w:t>Schedule 10</w:t>
            </w:r>
          </w:p>
        </w:tc>
        <w:tc>
          <w:tcPr>
            <w:tcW w:w="2181" w:type="dxa"/>
          </w:tcPr>
          <w:p>
            <w:pPr>
              <w:pStyle w:val="TableParagraph"/>
              <w:spacing w:line="262" w:lineRule="exact" w:before="133"/>
              <w:ind w:left="448"/>
              <w:rPr>
                <w:sz w:val="24"/>
              </w:rPr>
            </w:pPr>
            <w:r>
              <w:rPr>
                <w:sz w:val="24"/>
                <w:u w:val="single"/>
              </w:rPr>
              <w:t>Schedule 11</w:t>
            </w:r>
          </w:p>
        </w:tc>
        <w:tc>
          <w:tcPr>
            <w:tcW w:w="1934" w:type="dxa"/>
          </w:tcPr>
          <w:p>
            <w:pPr>
              <w:pStyle w:val="TableParagraph"/>
              <w:spacing w:line="262" w:lineRule="exact" w:before="133"/>
              <w:ind w:left="446"/>
              <w:rPr>
                <w:sz w:val="24"/>
              </w:rPr>
            </w:pPr>
            <w:r>
              <w:rPr>
                <w:sz w:val="24"/>
                <w:u w:val="single"/>
              </w:rPr>
              <w:t>Schedule 12</w:t>
            </w:r>
          </w:p>
        </w:tc>
      </w:tr>
      <w:tr>
        <w:trPr>
          <w:trHeight w:val="275" w:hRule="atLeast"/>
        </w:trPr>
        <w:tc>
          <w:tcPr>
            <w:tcW w:w="1934" w:type="dxa"/>
          </w:tcPr>
          <w:p>
            <w:pPr>
              <w:pStyle w:val="TableParagraph"/>
              <w:spacing w:line="256" w:lineRule="exact"/>
              <w:ind w:left="200"/>
              <w:rPr>
                <w:sz w:val="24"/>
              </w:rPr>
            </w:pPr>
            <w:r>
              <w:rPr>
                <w:sz w:val="24"/>
              </w:rPr>
              <w:t>9/1 (R. 10)</w:t>
            </w:r>
          </w:p>
        </w:tc>
        <w:tc>
          <w:tcPr>
            <w:tcW w:w="2181" w:type="dxa"/>
          </w:tcPr>
          <w:p>
            <w:pPr>
              <w:pStyle w:val="TableParagraph"/>
              <w:spacing w:line="256" w:lineRule="exact"/>
              <w:ind w:left="445"/>
              <w:rPr>
                <w:sz w:val="24"/>
              </w:rPr>
            </w:pPr>
            <w:r>
              <w:rPr>
                <w:sz w:val="24"/>
              </w:rPr>
              <w:t>10/1 (R. 6)</w:t>
            </w:r>
          </w:p>
        </w:tc>
        <w:tc>
          <w:tcPr>
            <w:tcW w:w="2181" w:type="dxa"/>
          </w:tcPr>
          <w:p>
            <w:pPr>
              <w:pStyle w:val="TableParagraph"/>
              <w:spacing w:line="256" w:lineRule="exact"/>
              <w:ind w:left="448"/>
              <w:rPr>
                <w:sz w:val="24"/>
              </w:rPr>
            </w:pPr>
            <w:r>
              <w:rPr>
                <w:sz w:val="24"/>
              </w:rPr>
              <w:t>11/1 (R. 6)</w:t>
            </w:r>
          </w:p>
        </w:tc>
        <w:tc>
          <w:tcPr>
            <w:tcW w:w="1934" w:type="dxa"/>
          </w:tcPr>
          <w:p>
            <w:pPr>
              <w:pStyle w:val="TableParagraph"/>
              <w:spacing w:line="256" w:lineRule="exact"/>
              <w:ind w:left="446"/>
              <w:rPr>
                <w:sz w:val="24"/>
              </w:rPr>
            </w:pPr>
            <w:r>
              <w:rPr>
                <w:sz w:val="24"/>
              </w:rPr>
              <w:t>12/1 (R. 4)</w:t>
            </w:r>
          </w:p>
        </w:tc>
      </w:tr>
      <w:tr>
        <w:trPr>
          <w:trHeight w:val="276" w:hRule="atLeast"/>
        </w:trPr>
        <w:tc>
          <w:tcPr>
            <w:tcW w:w="1934" w:type="dxa"/>
          </w:tcPr>
          <w:p>
            <w:pPr>
              <w:pStyle w:val="TableParagraph"/>
              <w:spacing w:line="256" w:lineRule="exact"/>
              <w:ind w:left="200"/>
              <w:rPr>
                <w:sz w:val="24"/>
              </w:rPr>
            </w:pPr>
            <w:r>
              <w:rPr>
                <w:sz w:val="24"/>
              </w:rPr>
              <w:t>9/3 (R. 21)</w:t>
            </w:r>
          </w:p>
        </w:tc>
        <w:tc>
          <w:tcPr>
            <w:tcW w:w="2181" w:type="dxa"/>
          </w:tcPr>
          <w:p>
            <w:pPr>
              <w:pStyle w:val="TableParagraph"/>
              <w:spacing w:line="256" w:lineRule="exact"/>
              <w:ind w:left="445"/>
              <w:rPr>
                <w:sz w:val="24"/>
              </w:rPr>
            </w:pPr>
            <w:r>
              <w:rPr>
                <w:sz w:val="24"/>
              </w:rPr>
              <w:t>10/3 (R. 10)</w:t>
            </w:r>
          </w:p>
        </w:tc>
        <w:tc>
          <w:tcPr>
            <w:tcW w:w="2181" w:type="dxa"/>
          </w:tcPr>
          <w:p>
            <w:pPr>
              <w:pStyle w:val="TableParagraph"/>
              <w:spacing w:line="256" w:lineRule="exact"/>
              <w:ind w:left="448"/>
              <w:rPr>
                <w:sz w:val="24"/>
              </w:rPr>
            </w:pPr>
            <w:r>
              <w:rPr>
                <w:sz w:val="24"/>
              </w:rPr>
              <w:t>11/3 (R. 10)</w:t>
            </w:r>
          </w:p>
        </w:tc>
        <w:tc>
          <w:tcPr>
            <w:tcW w:w="1934" w:type="dxa"/>
          </w:tcPr>
          <w:p>
            <w:pPr>
              <w:pStyle w:val="TableParagraph"/>
              <w:spacing w:line="256" w:lineRule="exact"/>
              <w:ind w:left="446"/>
              <w:rPr>
                <w:sz w:val="24"/>
              </w:rPr>
            </w:pPr>
            <w:r>
              <w:rPr>
                <w:sz w:val="24"/>
              </w:rPr>
              <w:t>12/3 (R. 5)</w:t>
            </w:r>
          </w:p>
        </w:tc>
      </w:tr>
      <w:tr>
        <w:trPr>
          <w:trHeight w:val="276" w:hRule="atLeast"/>
        </w:trPr>
        <w:tc>
          <w:tcPr>
            <w:tcW w:w="1934" w:type="dxa"/>
          </w:tcPr>
          <w:p>
            <w:pPr>
              <w:pStyle w:val="TableParagraph"/>
              <w:spacing w:line="256" w:lineRule="exact"/>
              <w:ind w:left="200"/>
              <w:rPr>
                <w:sz w:val="24"/>
              </w:rPr>
            </w:pPr>
            <w:r>
              <w:rPr>
                <w:sz w:val="24"/>
              </w:rPr>
              <w:t>9/5 (R. 9)</w:t>
            </w:r>
          </w:p>
        </w:tc>
        <w:tc>
          <w:tcPr>
            <w:tcW w:w="2181" w:type="dxa"/>
          </w:tcPr>
          <w:p>
            <w:pPr>
              <w:pStyle w:val="TableParagraph"/>
              <w:spacing w:line="256" w:lineRule="exact"/>
              <w:ind w:left="445"/>
              <w:rPr>
                <w:sz w:val="24"/>
              </w:rPr>
            </w:pPr>
            <w:r>
              <w:rPr>
                <w:sz w:val="24"/>
              </w:rPr>
              <w:t>10/5 (R. 5)</w:t>
            </w:r>
          </w:p>
        </w:tc>
        <w:tc>
          <w:tcPr>
            <w:tcW w:w="2181" w:type="dxa"/>
          </w:tcPr>
          <w:p>
            <w:pPr>
              <w:pStyle w:val="TableParagraph"/>
              <w:spacing w:line="256" w:lineRule="exact"/>
              <w:ind w:left="448"/>
              <w:rPr>
                <w:sz w:val="24"/>
              </w:rPr>
            </w:pPr>
            <w:r>
              <w:rPr>
                <w:sz w:val="24"/>
              </w:rPr>
              <w:t>11/5 (R. 5)</w:t>
            </w:r>
          </w:p>
        </w:tc>
        <w:tc>
          <w:tcPr>
            <w:tcW w:w="1934" w:type="dxa"/>
          </w:tcPr>
          <w:p>
            <w:pPr>
              <w:pStyle w:val="TableParagraph"/>
              <w:spacing w:line="256" w:lineRule="exact"/>
              <w:ind w:left="446"/>
              <w:rPr>
                <w:sz w:val="24"/>
              </w:rPr>
            </w:pPr>
            <w:r>
              <w:rPr>
                <w:sz w:val="24"/>
              </w:rPr>
              <w:t>12/5 (R. 3)</w:t>
            </w:r>
          </w:p>
        </w:tc>
      </w:tr>
      <w:tr>
        <w:trPr>
          <w:trHeight w:val="269" w:hRule="atLeast"/>
        </w:trPr>
        <w:tc>
          <w:tcPr>
            <w:tcW w:w="1934" w:type="dxa"/>
          </w:tcPr>
          <w:p>
            <w:pPr>
              <w:pStyle w:val="TableParagraph"/>
              <w:spacing w:line="250" w:lineRule="exact"/>
              <w:ind w:left="200"/>
              <w:rPr>
                <w:sz w:val="24"/>
              </w:rPr>
            </w:pPr>
            <w:r>
              <w:rPr>
                <w:sz w:val="24"/>
              </w:rPr>
              <w:t>9/7 (R. 9)</w:t>
            </w:r>
          </w:p>
        </w:tc>
        <w:tc>
          <w:tcPr>
            <w:tcW w:w="2181" w:type="dxa"/>
          </w:tcPr>
          <w:p>
            <w:pPr>
              <w:pStyle w:val="TableParagraph"/>
              <w:spacing w:line="250" w:lineRule="exact"/>
              <w:ind w:left="445"/>
              <w:rPr>
                <w:sz w:val="24"/>
              </w:rPr>
            </w:pPr>
            <w:r>
              <w:rPr>
                <w:sz w:val="24"/>
              </w:rPr>
              <w:t>10/7 (R. 8)</w:t>
            </w:r>
          </w:p>
        </w:tc>
        <w:tc>
          <w:tcPr>
            <w:tcW w:w="2181" w:type="dxa"/>
          </w:tcPr>
          <w:p>
            <w:pPr>
              <w:pStyle w:val="TableParagraph"/>
              <w:spacing w:line="250" w:lineRule="exact"/>
              <w:ind w:left="448"/>
              <w:rPr>
                <w:sz w:val="24"/>
              </w:rPr>
            </w:pPr>
            <w:r>
              <w:rPr>
                <w:sz w:val="24"/>
              </w:rPr>
              <w:t>11/7 (R. 7)</w:t>
            </w:r>
          </w:p>
        </w:tc>
        <w:tc>
          <w:tcPr>
            <w:tcW w:w="1934" w:type="dxa"/>
          </w:tcPr>
          <w:p>
            <w:pPr>
              <w:pStyle w:val="TableParagraph"/>
              <w:spacing w:line="250" w:lineRule="exact"/>
              <w:ind w:left="446"/>
              <w:rPr>
                <w:sz w:val="24"/>
              </w:rPr>
            </w:pPr>
            <w:r>
              <w:rPr>
                <w:sz w:val="24"/>
              </w:rPr>
              <w:t>12/7 (R. 4)</w:t>
            </w:r>
          </w:p>
        </w:tc>
      </w:tr>
    </w:tbl>
    <w:p>
      <w:pPr>
        <w:pStyle w:val="BodyText"/>
        <w:spacing w:before="4"/>
        <w:rPr>
          <w:sz w:val="28"/>
        </w:rPr>
      </w:pPr>
    </w:p>
    <w:p>
      <w:pPr>
        <w:pStyle w:val="BodyText"/>
        <w:spacing w:line="237" w:lineRule="auto"/>
        <w:ind w:left="1147" w:right="1958"/>
      </w:pPr>
      <w:r>
        <w:rPr/>
        <w:t>The Department will issue the above pages to subscribers as soon as practical following the commencement of the new customs duty rates.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line="237" w:lineRule="auto" w:before="167"/>
        <w:ind w:left="1147" w:right="9674"/>
        <w:jc w:val="both"/>
      </w:pPr>
      <w:r>
        <w:rPr/>
        <w:t>(signed) Peter Nagy</w:t>
      </w:r>
    </w:p>
    <w:p>
      <w:pPr>
        <w:pStyle w:val="BodyText"/>
        <w:spacing w:before="3"/>
        <w:ind w:left="1147" w:right="8134"/>
        <w:jc w:val="both"/>
      </w:pPr>
      <w:r>
        <w:rPr/>
        <w:t>Acting Assistant Secretary Trade and Customs Branch 27 January 2017</w:t>
      </w:r>
    </w:p>
    <w:p>
      <w:pPr>
        <w:spacing w:after="0"/>
        <w:jc w:val="both"/>
        <w:sectPr>
          <w:pgSz w:w="11910" w:h="16840"/>
          <w:pgMar w:header="708" w:footer="0" w:top="920" w:bottom="280" w:left="0" w:right="0"/>
        </w:sectPr>
      </w:pPr>
    </w:p>
    <w:p>
      <w:pPr>
        <w:pStyle w:val="BodyText"/>
        <w:spacing w:before="5"/>
        <w:rPr>
          <w:sz w:val="16"/>
        </w:rPr>
      </w:pPr>
    </w:p>
    <w:p>
      <w:pPr>
        <w:tabs>
          <w:tab w:pos="2966" w:val="left" w:leader="none"/>
        </w:tabs>
        <w:spacing w:line="242" w:lineRule="auto" w:before="90"/>
        <w:ind w:left="3004" w:right="1154" w:hanging="1719"/>
        <w:jc w:val="left"/>
        <w:rPr>
          <w:b/>
          <w:sz w:val="24"/>
        </w:rPr>
      </w:pPr>
      <w:r>
        <w:rPr>
          <w:b/>
          <w:sz w:val="24"/>
        </w:rPr>
        <w:t>TABLE</w:t>
      </w:r>
      <w:r>
        <w:rPr>
          <w:b/>
          <w:spacing w:val="-1"/>
          <w:sz w:val="24"/>
        </w:rPr>
        <w:t> </w:t>
      </w:r>
      <w:r>
        <w:rPr>
          <w:b/>
          <w:sz w:val="24"/>
        </w:rPr>
        <w:t>1:</w:t>
        <w:tab/>
      </w:r>
      <w:r>
        <w:rPr>
          <w:rFonts w:ascii="TimesNewRomanPS-BoldItalicMT"/>
          <w:b/>
          <w:i/>
          <w:sz w:val="24"/>
        </w:rPr>
        <w:t>CUSTOMS TARIFF ACT 1995 </w:t>
      </w:r>
      <w:r>
        <w:rPr>
          <w:b/>
          <w:sz w:val="24"/>
        </w:rPr>
        <w:t>- TARIFF SUBHEADINGS AFFECTED BY 1 FEBRUARY 2017 CPI</w:t>
      </w:r>
      <w:r>
        <w:rPr>
          <w:b/>
          <w:spacing w:val="-1"/>
          <w:sz w:val="24"/>
        </w:rPr>
        <w:t> </w:t>
      </w:r>
      <w:r>
        <w:rPr>
          <w:b/>
          <w:sz w:val="24"/>
        </w:rPr>
        <w:t>INDEXATION</w:t>
      </w:r>
    </w:p>
    <w:p>
      <w:pPr>
        <w:pStyle w:val="BodyText"/>
        <w:spacing w:before="9"/>
        <w:rPr>
          <w:b/>
          <w:sz w:val="27"/>
        </w:rPr>
      </w:pPr>
    </w:p>
    <w:tbl>
      <w:tblPr>
        <w:tblW w:w="0" w:type="auto"/>
        <w:jc w:val="left"/>
        <w:tblInd w:w="1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903"/>
        <w:gridCol w:w="6091"/>
      </w:tblGrid>
      <w:tr>
        <w:trPr>
          <w:trHeight w:val="825" w:hRule="atLeast"/>
        </w:trPr>
        <w:tc>
          <w:tcPr>
            <w:tcW w:w="3264" w:type="dxa"/>
            <w:gridSpan w:val="2"/>
          </w:tcPr>
          <w:p>
            <w:pPr>
              <w:pStyle w:val="TableParagraph"/>
              <w:spacing w:before="25"/>
              <w:rPr>
                <w:b/>
                <w:sz w:val="24"/>
              </w:rPr>
            </w:pPr>
            <w:r>
              <w:rPr>
                <w:b/>
                <w:sz w:val="24"/>
                <w:u w:val="thick"/>
              </w:rPr>
              <w:t>Customs Tariff Subheading</w:t>
            </w:r>
          </w:p>
        </w:tc>
        <w:tc>
          <w:tcPr>
            <w:tcW w:w="6091" w:type="dxa"/>
          </w:tcPr>
          <w:p>
            <w:pPr>
              <w:pStyle w:val="TableParagraph"/>
              <w:spacing w:before="25"/>
              <w:ind w:left="105"/>
              <w:rPr>
                <w:b/>
                <w:sz w:val="24"/>
              </w:rPr>
            </w:pPr>
            <w:r>
              <w:rPr>
                <w:b/>
                <w:sz w:val="24"/>
                <w:u w:val="thick"/>
              </w:rPr>
              <w:t>New Customs Duty Rate for Excise-Equivalent Goods</w:t>
            </w:r>
          </w:p>
        </w:tc>
      </w:tr>
      <w:tr>
        <w:trPr>
          <w:trHeight w:val="974" w:hRule="atLeast"/>
        </w:trPr>
        <w:tc>
          <w:tcPr>
            <w:tcW w:w="1361" w:type="dxa"/>
            <w:tcBorders>
              <w:right w:val="nil"/>
            </w:tcBorders>
          </w:tcPr>
          <w:p>
            <w:pPr>
              <w:pStyle w:val="TableParagraph"/>
              <w:spacing w:before="20"/>
              <w:rPr>
                <w:sz w:val="24"/>
              </w:rPr>
            </w:pPr>
            <w:r>
              <w:rPr>
                <w:sz w:val="24"/>
              </w:rPr>
              <w:t>2203.00.61</w:t>
            </w:r>
          </w:p>
        </w:tc>
        <w:tc>
          <w:tcPr>
            <w:tcW w:w="1903" w:type="dxa"/>
            <w:tcBorders>
              <w:left w:val="nil"/>
            </w:tcBorders>
          </w:tcPr>
          <w:p>
            <w:pPr>
              <w:pStyle w:val="TableParagraph"/>
              <w:spacing w:before="20"/>
              <w:ind w:left="170"/>
              <w:rPr>
                <w:sz w:val="24"/>
              </w:rPr>
            </w:pPr>
            <w:r>
              <w:rPr>
                <w:sz w:val="24"/>
              </w:rPr>
              <w:t>2206.00.74</w:t>
            </w:r>
          </w:p>
        </w:tc>
        <w:tc>
          <w:tcPr>
            <w:tcW w:w="6091" w:type="dxa"/>
          </w:tcPr>
          <w:p>
            <w:pPr>
              <w:pStyle w:val="TableParagraph"/>
              <w:spacing w:before="20"/>
              <w:ind w:left="105"/>
              <w:rPr>
                <w:sz w:val="24"/>
              </w:rPr>
            </w:pPr>
            <w:r>
              <w:rPr>
                <w:sz w:val="24"/>
              </w:rPr>
              <w:t>$41.70 per litre of alcohol, calculated on that alcohol content by which the percentage by volume of alcohol of the goods exceeds 1.15</w:t>
            </w:r>
          </w:p>
        </w:tc>
      </w:tr>
      <w:tr>
        <w:trPr>
          <w:trHeight w:val="978" w:hRule="atLeast"/>
        </w:trPr>
        <w:tc>
          <w:tcPr>
            <w:tcW w:w="1361" w:type="dxa"/>
            <w:tcBorders>
              <w:right w:val="nil"/>
            </w:tcBorders>
          </w:tcPr>
          <w:p>
            <w:pPr>
              <w:pStyle w:val="TableParagraph"/>
              <w:spacing w:before="20"/>
              <w:rPr>
                <w:sz w:val="24"/>
              </w:rPr>
            </w:pPr>
            <w:r>
              <w:rPr>
                <w:sz w:val="24"/>
              </w:rPr>
              <w:t>2203.00.62</w:t>
            </w:r>
          </w:p>
        </w:tc>
        <w:tc>
          <w:tcPr>
            <w:tcW w:w="1903" w:type="dxa"/>
            <w:tcBorders>
              <w:left w:val="nil"/>
            </w:tcBorders>
          </w:tcPr>
          <w:p>
            <w:pPr>
              <w:pStyle w:val="TableParagraph"/>
              <w:spacing w:before="20"/>
              <w:ind w:left="170"/>
              <w:rPr>
                <w:sz w:val="24"/>
              </w:rPr>
            </w:pPr>
            <w:r>
              <w:rPr>
                <w:sz w:val="24"/>
              </w:rPr>
              <w:t>2206.00.75</w:t>
            </w:r>
          </w:p>
        </w:tc>
        <w:tc>
          <w:tcPr>
            <w:tcW w:w="6091" w:type="dxa"/>
          </w:tcPr>
          <w:p>
            <w:pPr>
              <w:pStyle w:val="TableParagraph"/>
              <w:spacing w:line="242" w:lineRule="auto" w:before="20"/>
              <w:ind w:left="105"/>
              <w:rPr>
                <w:sz w:val="24"/>
              </w:rPr>
            </w:pPr>
            <w:r>
              <w:rPr>
                <w:sz w:val="24"/>
              </w:rPr>
              <w:t>$48.57 per litre of alcohol, calculated on that alcohol content by which the percentage by volume of alcohol of the goods exceeds 1.15</w:t>
            </w:r>
          </w:p>
        </w:tc>
      </w:tr>
      <w:tr>
        <w:trPr>
          <w:trHeight w:val="978" w:hRule="atLeast"/>
        </w:trPr>
        <w:tc>
          <w:tcPr>
            <w:tcW w:w="1361" w:type="dxa"/>
            <w:tcBorders>
              <w:right w:val="nil"/>
            </w:tcBorders>
          </w:tcPr>
          <w:p>
            <w:pPr>
              <w:pStyle w:val="TableParagraph"/>
              <w:spacing w:before="20"/>
              <w:rPr>
                <w:sz w:val="24"/>
              </w:rPr>
            </w:pPr>
            <w:r>
              <w:rPr>
                <w:sz w:val="24"/>
              </w:rPr>
              <w:t>2203.00.69</w:t>
            </w:r>
          </w:p>
        </w:tc>
        <w:tc>
          <w:tcPr>
            <w:tcW w:w="1903" w:type="dxa"/>
            <w:tcBorders>
              <w:left w:val="nil"/>
            </w:tcBorders>
          </w:tcPr>
          <w:p>
            <w:pPr>
              <w:pStyle w:val="TableParagraph"/>
              <w:spacing w:before="20"/>
              <w:ind w:left="170"/>
              <w:rPr>
                <w:sz w:val="24"/>
              </w:rPr>
            </w:pPr>
            <w:r>
              <w:rPr>
                <w:sz w:val="24"/>
              </w:rPr>
              <w:t>2206.00.78</w:t>
            </w:r>
          </w:p>
        </w:tc>
        <w:tc>
          <w:tcPr>
            <w:tcW w:w="6091" w:type="dxa"/>
          </w:tcPr>
          <w:p>
            <w:pPr>
              <w:pStyle w:val="TableParagraph"/>
              <w:spacing w:before="20"/>
              <w:ind w:left="105"/>
              <w:rPr>
                <w:sz w:val="24"/>
              </w:rPr>
            </w:pPr>
            <w:r>
              <w:rPr>
                <w:sz w:val="24"/>
              </w:rPr>
              <w:t>$48.57 per litre of alcohol, calculated on that alcohol content by which the percentage by volume of alcohol of the goods exceeds 1.15</w:t>
            </w:r>
          </w:p>
        </w:tc>
      </w:tr>
      <w:tr>
        <w:trPr>
          <w:trHeight w:val="878" w:hRule="atLeast"/>
        </w:trPr>
        <w:tc>
          <w:tcPr>
            <w:tcW w:w="1361" w:type="dxa"/>
            <w:tcBorders>
              <w:right w:val="nil"/>
            </w:tcBorders>
          </w:tcPr>
          <w:p>
            <w:pPr>
              <w:pStyle w:val="TableParagraph"/>
              <w:spacing w:before="20"/>
              <w:rPr>
                <w:sz w:val="24"/>
              </w:rPr>
            </w:pPr>
            <w:r>
              <w:rPr>
                <w:sz w:val="24"/>
              </w:rPr>
              <w:t>2203.00.71</w:t>
            </w:r>
          </w:p>
        </w:tc>
        <w:tc>
          <w:tcPr>
            <w:tcW w:w="1903" w:type="dxa"/>
            <w:tcBorders>
              <w:left w:val="nil"/>
            </w:tcBorders>
          </w:tcPr>
          <w:p>
            <w:pPr>
              <w:pStyle w:val="TableParagraph"/>
              <w:spacing w:before="20"/>
              <w:ind w:left="170"/>
              <w:rPr>
                <w:sz w:val="24"/>
              </w:rPr>
            </w:pPr>
            <w:r>
              <w:rPr>
                <w:sz w:val="24"/>
              </w:rPr>
              <w:t>2206.00.82</w:t>
            </w:r>
          </w:p>
        </w:tc>
        <w:tc>
          <w:tcPr>
            <w:tcW w:w="6091" w:type="dxa"/>
          </w:tcPr>
          <w:p>
            <w:pPr>
              <w:pStyle w:val="TableParagraph"/>
              <w:ind w:left="105" w:right="252"/>
              <w:jc w:val="both"/>
              <w:rPr>
                <w:sz w:val="24"/>
              </w:rPr>
            </w:pPr>
            <w:r>
              <w:rPr>
                <w:sz w:val="24"/>
              </w:rPr>
              <w:t>$8.34 per litre of alcohol, calculated on that alcohol</w:t>
            </w:r>
            <w:r>
              <w:rPr>
                <w:spacing w:val="-25"/>
                <w:sz w:val="24"/>
              </w:rPr>
              <w:t> </w:t>
            </w:r>
            <w:r>
              <w:rPr>
                <w:sz w:val="24"/>
              </w:rPr>
              <w:t>content by which the percentage by volume of alcohol of the goods exceeds</w:t>
            </w:r>
            <w:r>
              <w:rPr>
                <w:spacing w:val="-1"/>
                <w:sz w:val="24"/>
              </w:rPr>
              <w:t> </w:t>
            </w:r>
            <w:r>
              <w:rPr>
                <w:sz w:val="24"/>
              </w:rPr>
              <w:t>1.15</w:t>
            </w:r>
          </w:p>
        </w:tc>
      </w:tr>
      <w:tr>
        <w:trPr>
          <w:trHeight w:val="978" w:hRule="atLeast"/>
        </w:trPr>
        <w:tc>
          <w:tcPr>
            <w:tcW w:w="1361" w:type="dxa"/>
            <w:tcBorders>
              <w:right w:val="nil"/>
            </w:tcBorders>
          </w:tcPr>
          <w:p>
            <w:pPr>
              <w:pStyle w:val="TableParagraph"/>
              <w:spacing w:before="20"/>
              <w:rPr>
                <w:sz w:val="24"/>
              </w:rPr>
            </w:pPr>
            <w:r>
              <w:rPr>
                <w:sz w:val="24"/>
              </w:rPr>
              <w:t>2203.00.72</w:t>
            </w:r>
          </w:p>
        </w:tc>
        <w:tc>
          <w:tcPr>
            <w:tcW w:w="1903" w:type="dxa"/>
            <w:tcBorders>
              <w:left w:val="nil"/>
            </w:tcBorders>
          </w:tcPr>
          <w:p>
            <w:pPr>
              <w:pStyle w:val="TableParagraph"/>
              <w:spacing w:before="20"/>
              <w:ind w:left="170"/>
              <w:rPr>
                <w:sz w:val="24"/>
              </w:rPr>
            </w:pPr>
            <w:r>
              <w:rPr>
                <w:sz w:val="24"/>
              </w:rPr>
              <w:t>2206.00.83</w:t>
            </w:r>
          </w:p>
        </w:tc>
        <w:tc>
          <w:tcPr>
            <w:tcW w:w="6091" w:type="dxa"/>
          </w:tcPr>
          <w:p>
            <w:pPr>
              <w:pStyle w:val="TableParagraph"/>
              <w:spacing w:line="242" w:lineRule="auto" w:before="20"/>
              <w:ind w:left="105"/>
              <w:rPr>
                <w:sz w:val="24"/>
              </w:rPr>
            </w:pPr>
            <w:r>
              <w:rPr>
                <w:sz w:val="24"/>
              </w:rPr>
              <w:t>$26.12 per litre of alcohol, calculated on that alcohol content by which the percentage by volume of alcohol of the goods exceeds 1.15</w:t>
            </w:r>
          </w:p>
        </w:tc>
      </w:tr>
      <w:tr>
        <w:trPr>
          <w:trHeight w:val="978" w:hRule="atLeast"/>
        </w:trPr>
        <w:tc>
          <w:tcPr>
            <w:tcW w:w="1361" w:type="dxa"/>
            <w:tcBorders>
              <w:right w:val="nil"/>
            </w:tcBorders>
          </w:tcPr>
          <w:p>
            <w:pPr>
              <w:pStyle w:val="TableParagraph"/>
              <w:spacing w:before="20"/>
              <w:rPr>
                <w:sz w:val="24"/>
              </w:rPr>
            </w:pPr>
            <w:r>
              <w:rPr>
                <w:sz w:val="24"/>
              </w:rPr>
              <w:t>2203.00.79</w:t>
            </w:r>
          </w:p>
        </w:tc>
        <w:tc>
          <w:tcPr>
            <w:tcW w:w="1903" w:type="dxa"/>
            <w:tcBorders>
              <w:left w:val="nil"/>
            </w:tcBorders>
          </w:tcPr>
          <w:p>
            <w:pPr>
              <w:pStyle w:val="TableParagraph"/>
              <w:spacing w:before="20"/>
              <w:ind w:left="170"/>
              <w:rPr>
                <w:sz w:val="24"/>
              </w:rPr>
            </w:pPr>
            <w:r>
              <w:rPr>
                <w:sz w:val="24"/>
              </w:rPr>
              <w:t>2206.00.89</w:t>
            </w:r>
          </w:p>
        </w:tc>
        <w:tc>
          <w:tcPr>
            <w:tcW w:w="6091" w:type="dxa"/>
          </w:tcPr>
          <w:p>
            <w:pPr>
              <w:pStyle w:val="TableParagraph"/>
              <w:spacing w:line="242" w:lineRule="auto" w:before="20"/>
              <w:ind w:left="105"/>
              <w:rPr>
                <w:sz w:val="24"/>
              </w:rPr>
            </w:pPr>
            <w:r>
              <w:rPr>
                <w:sz w:val="24"/>
              </w:rPr>
              <w:t>$34.21 per litre of alcohol, calculated on that alcohol content by which the percentage by volume of alcohol of the goods exceeds 1.15</w:t>
            </w:r>
          </w:p>
        </w:tc>
      </w:tr>
      <w:tr>
        <w:trPr>
          <w:trHeight w:val="372" w:hRule="atLeast"/>
        </w:trPr>
        <w:tc>
          <w:tcPr>
            <w:tcW w:w="1361" w:type="dxa"/>
            <w:tcBorders>
              <w:bottom w:val="nil"/>
              <w:right w:val="nil"/>
            </w:tcBorders>
          </w:tcPr>
          <w:p>
            <w:pPr>
              <w:pStyle w:val="TableParagraph"/>
              <w:spacing w:before="20"/>
              <w:rPr>
                <w:sz w:val="24"/>
              </w:rPr>
            </w:pPr>
            <w:r>
              <w:rPr>
                <w:sz w:val="24"/>
              </w:rPr>
              <w:t>2203.00.91</w:t>
            </w:r>
          </w:p>
        </w:tc>
        <w:tc>
          <w:tcPr>
            <w:tcW w:w="1903" w:type="dxa"/>
            <w:tcBorders>
              <w:left w:val="nil"/>
              <w:bottom w:val="nil"/>
            </w:tcBorders>
          </w:tcPr>
          <w:p>
            <w:pPr>
              <w:pStyle w:val="TableParagraph"/>
              <w:spacing w:before="20"/>
              <w:ind w:left="170"/>
              <w:rPr>
                <w:sz w:val="24"/>
              </w:rPr>
            </w:pPr>
            <w:r>
              <w:rPr>
                <w:sz w:val="24"/>
              </w:rPr>
              <w:t>2206.00.14</w:t>
            </w:r>
          </w:p>
        </w:tc>
        <w:tc>
          <w:tcPr>
            <w:tcW w:w="6091" w:type="dxa"/>
            <w:vMerge w:val="restart"/>
          </w:tcPr>
          <w:p>
            <w:pPr>
              <w:pStyle w:val="TableParagraph"/>
              <w:spacing w:before="20"/>
              <w:ind w:left="105"/>
              <w:rPr>
                <w:sz w:val="24"/>
              </w:rPr>
            </w:pPr>
            <w:r>
              <w:rPr>
                <w:sz w:val="24"/>
              </w:rPr>
              <w:t>$82.27 per litre of alcohol</w:t>
            </w:r>
          </w:p>
        </w:tc>
      </w:tr>
      <w:tr>
        <w:trPr>
          <w:trHeight w:val="417" w:hRule="atLeast"/>
        </w:trPr>
        <w:tc>
          <w:tcPr>
            <w:tcW w:w="1361" w:type="dxa"/>
            <w:tcBorders>
              <w:top w:val="nil"/>
              <w:bottom w:val="nil"/>
              <w:right w:val="nil"/>
            </w:tcBorders>
          </w:tcPr>
          <w:p>
            <w:pPr>
              <w:pStyle w:val="TableParagraph"/>
              <w:spacing w:before="65"/>
              <w:rPr>
                <w:sz w:val="24"/>
              </w:rPr>
            </w:pPr>
            <w:r>
              <w:rPr>
                <w:sz w:val="24"/>
              </w:rPr>
              <w:t>2203.00.99</w:t>
            </w:r>
          </w:p>
        </w:tc>
        <w:tc>
          <w:tcPr>
            <w:tcW w:w="1903" w:type="dxa"/>
            <w:tcBorders>
              <w:top w:val="nil"/>
              <w:left w:val="nil"/>
              <w:bottom w:val="nil"/>
            </w:tcBorders>
          </w:tcPr>
          <w:p>
            <w:pPr>
              <w:pStyle w:val="TableParagraph"/>
              <w:spacing w:before="65"/>
              <w:ind w:left="170"/>
              <w:rPr>
                <w:sz w:val="24"/>
              </w:rPr>
            </w:pPr>
            <w:r>
              <w:rPr>
                <w:sz w:val="24"/>
              </w:rPr>
              <w:t>2206.00.92</w:t>
            </w:r>
          </w:p>
        </w:tc>
        <w:tc>
          <w:tcPr>
            <w:tcW w:w="6091" w:type="dxa"/>
            <w:vMerge/>
            <w:tcBorders>
              <w:top w:val="nil"/>
            </w:tcBorders>
          </w:tcPr>
          <w:p>
            <w:pPr>
              <w:rPr>
                <w:sz w:val="2"/>
                <w:szCs w:val="2"/>
              </w:rPr>
            </w:pPr>
          </w:p>
        </w:tc>
      </w:tr>
      <w:tr>
        <w:trPr>
          <w:trHeight w:val="466" w:hRule="atLeast"/>
        </w:trPr>
        <w:tc>
          <w:tcPr>
            <w:tcW w:w="1361" w:type="dxa"/>
            <w:tcBorders>
              <w:top w:val="nil"/>
              <w:right w:val="nil"/>
            </w:tcBorders>
          </w:tcPr>
          <w:p>
            <w:pPr>
              <w:pStyle w:val="TableParagraph"/>
              <w:spacing w:before="65"/>
              <w:rPr>
                <w:sz w:val="24"/>
              </w:rPr>
            </w:pPr>
            <w:r>
              <w:rPr>
                <w:sz w:val="24"/>
              </w:rPr>
              <w:t>2206.00.13</w:t>
            </w:r>
          </w:p>
        </w:tc>
        <w:tc>
          <w:tcPr>
            <w:tcW w:w="1903" w:type="dxa"/>
            <w:tcBorders>
              <w:top w:val="nil"/>
              <w:left w:val="nil"/>
            </w:tcBorders>
          </w:tcPr>
          <w:p>
            <w:pPr>
              <w:pStyle w:val="TableParagraph"/>
              <w:spacing w:before="65"/>
              <w:ind w:left="170"/>
              <w:rPr>
                <w:sz w:val="24"/>
              </w:rPr>
            </w:pPr>
            <w:r>
              <w:rPr>
                <w:sz w:val="24"/>
              </w:rPr>
              <w:t>2206.00.99</w:t>
            </w:r>
          </w:p>
        </w:tc>
        <w:tc>
          <w:tcPr>
            <w:tcW w:w="6091" w:type="dxa"/>
            <w:vMerge/>
            <w:tcBorders>
              <w:top w:val="nil"/>
            </w:tcBorders>
          </w:tcPr>
          <w:p>
            <w:pPr>
              <w:rPr>
                <w:sz w:val="2"/>
                <w:szCs w:val="2"/>
              </w:rPr>
            </w:pPr>
          </w:p>
        </w:tc>
      </w:tr>
      <w:tr>
        <w:trPr>
          <w:trHeight w:val="377" w:hRule="atLeast"/>
        </w:trPr>
        <w:tc>
          <w:tcPr>
            <w:tcW w:w="1361" w:type="dxa"/>
            <w:tcBorders>
              <w:bottom w:val="nil"/>
              <w:right w:val="nil"/>
            </w:tcBorders>
          </w:tcPr>
          <w:p>
            <w:pPr>
              <w:pStyle w:val="TableParagraph"/>
              <w:spacing w:before="20"/>
              <w:rPr>
                <w:sz w:val="24"/>
              </w:rPr>
            </w:pPr>
            <w:r>
              <w:rPr>
                <w:sz w:val="24"/>
              </w:rPr>
              <w:t>2204.10.23</w:t>
            </w:r>
          </w:p>
        </w:tc>
        <w:tc>
          <w:tcPr>
            <w:tcW w:w="1903" w:type="dxa"/>
            <w:tcBorders>
              <w:left w:val="nil"/>
              <w:bottom w:val="nil"/>
            </w:tcBorders>
          </w:tcPr>
          <w:p>
            <w:pPr>
              <w:pStyle w:val="TableParagraph"/>
              <w:spacing w:before="20"/>
              <w:ind w:left="170"/>
              <w:rPr>
                <w:sz w:val="24"/>
              </w:rPr>
            </w:pPr>
            <w:r>
              <w:rPr>
                <w:sz w:val="24"/>
              </w:rPr>
              <w:t>2206.00.23</w:t>
            </w:r>
          </w:p>
        </w:tc>
        <w:tc>
          <w:tcPr>
            <w:tcW w:w="6091" w:type="dxa"/>
            <w:vMerge w:val="restart"/>
          </w:tcPr>
          <w:p>
            <w:pPr>
              <w:pStyle w:val="TableParagraph"/>
              <w:spacing w:line="242" w:lineRule="auto" w:before="20"/>
              <w:ind w:left="105" w:right="957"/>
              <w:rPr>
                <w:sz w:val="24"/>
              </w:rPr>
            </w:pPr>
            <w:r>
              <w:rPr>
                <w:sz w:val="24"/>
              </w:rPr>
              <w:t>$82.27 per litre of alcohol, plus customs duty where applicable</w:t>
            </w:r>
          </w:p>
        </w:tc>
      </w:tr>
      <w:tr>
        <w:trPr>
          <w:trHeight w:val="426" w:hRule="atLeast"/>
        </w:trPr>
        <w:tc>
          <w:tcPr>
            <w:tcW w:w="1361" w:type="dxa"/>
            <w:tcBorders>
              <w:top w:val="nil"/>
              <w:bottom w:val="nil"/>
              <w:right w:val="nil"/>
            </w:tcBorders>
          </w:tcPr>
          <w:p>
            <w:pPr>
              <w:pStyle w:val="TableParagraph"/>
              <w:spacing w:before="70"/>
              <w:rPr>
                <w:sz w:val="24"/>
              </w:rPr>
            </w:pPr>
            <w:r>
              <w:rPr>
                <w:sz w:val="24"/>
              </w:rPr>
              <w:t>2204.10.29</w:t>
            </w:r>
          </w:p>
        </w:tc>
        <w:tc>
          <w:tcPr>
            <w:tcW w:w="1903" w:type="dxa"/>
            <w:tcBorders>
              <w:top w:val="nil"/>
              <w:left w:val="nil"/>
              <w:bottom w:val="nil"/>
            </w:tcBorders>
          </w:tcPr>
          <w:p>
            <w:pPr>
              <w:pStyle w:val="TableParagraph"/>
              <w:spacing w:before="70"/>
              <w:ind w:left="170"/>
              <w:rPr>
                <w:sz w:val="24"/>
              </w:rPr>
            </w:pPr>
            <w:r>
              <w:rPr>
                <w:sz w:val="24"/>
              </w:rPr>
              <w:t>2206.00.24</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2204.10.83</w:t>
            </w:r>
          </w:p>
        </w:tc>
        <w:tc>
          <w:tcPr>
            <w:tcW w:w="1903" w:type="dxa"/>
            <w:tcBorders>
              <w:top w:val="nil"/>
              <w:left w:val="nil"/>
              <w:bottom w:val="nil"/>
            </w:tcBorders>
          </w:tcPr>
          <w:p>
            <w:pPr>
              <w:pStyle w:val="TableParagraph"/>
              <w:spacing w:before="70"/>
              <w:ind w:left="170"/>
              <w:rPr>
                <w:sz w:val="24"/>
              </w:rPr>
            </w:pPr>
            <w:r>
              <w:rPr>
                <w:sz w:val="24"/>
              </w:rPr>
              <w:t>2206.00.52</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2204.10.89</w:t>
            </w:r>
          </w:p>
        </w:tc>
        <w:tc>
          <w:tcPr>
            <w:tcW w:w="1903" w:type="dxa"/>
            <w:tcBorders>
              <w:top w:val="nil"/>
              <w:left w:val="nil"/>
              <w:bottom w:val="nil"/>
            </w:tcBorders>
          </w:tcPr>
          <w:p>
            <w:pPr>
              <w:pStyle w:val="TableParagraph"/>
              <w:spacing w:before="70"/>
              <w:ind w:left="170"/>
              <w:rPr>
                <w:sz w:val="24"/>
              </w:rPr>
            </w:pPr>
            <w:r>
              <w:rPr>
                <w:sz w:val="24"/>
              </w:rPr>
              <w:t>2206.00.59</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2204.21.30</w:t>
            </w:r>
          </w:p>
        </w:tc>
        <w:tc>
          <w:tcPr>
            <w:tcW w:w="1903" w:type="dxa"/>
            <w:tcBorders>
              <w:top w:val="nil"/>
              <w:left w:val="nil"/>
              <w:bottom w:val="nil"/>
            </w:tcBorders>
          </w:tcPr>
          <w:p>
            <w:pPr>
              <w:pStyle w:val="TableParagraph"/>
              <w:spacing w:before="70"/>
              <w:ind w:left="170"/>
              <w:rPr>
                <w:sz w:val="24"/>
              </w:rPr>
            </w:pPr>
            <w:r>
              <w:rPr>
                <w:sz w:val="24"/>
              </w:rPr>
              <w:t>2206.00.62</w:t>
            </w:r>
          </w:p>
        </w:tc>
        <w:tc>
          <w:tcPr>
            <w:tcW w:w="6091" w:type="dxa"/>
            <w:vMerge/>
            <w:tcBorders>
              <w:top w:val="nil"/>
            </w:tcBorders>
          </w:tcPr>
          <w:p>
            <w:pPr>
              <w:rPr>
                <w:sz w:val="2"/>
                <w:szCs w:val="2"/>
              </w:rPr>
            </w:pPr>
          </w:p>
        </w:tc>
      </w:tr>
      <w:tr>
        <w:trPr>
          <w:trHeight w:val="424" w:hRule="atLeast"/>
        </w:trPr>
        <w:tc>
          <w:tcPr>
            <w:tcW w:w="1361" w:type="dxa"/>
            <w:tcBorders>
              <w:top w:val="nil"/>
              <w:bottom w:val="nil"/>
              <w:right w:val="nil"/>
            </w:tcBorders>
          </w:tcPr>
          <w:p>
            <w:pPr>
              <w:pStyle w:val="TableParagraph"/>
              <w:spacing w:before="70"/>
              <w:rPr>
                <w:sz w:val="24"/>
              </w:rPr>
            </w:pPr>
            <w:r>
              <w:rPr>
                <w:sz w:val="24"/>
              </w:rPr>
              <w:t>2204.21.90</w:t>
            </w:r>
          </w:p>
        </w:tc>
        <w:tc>
          <w:tcPr>
            <w:tcW w:w="1903" w:type="dxa"/>
            <w:tcBorders>
              <w:top w:val="nil"/>
              <w:left w:val="nil"/>
              <w:bottom w:val="nil"/>
            </w:tcBorders>
          </w:tcPr>
          <w:p>
            <w:pPr>
              <w:pStyle w:val="TableParagraph"/>
              <w:spacing w:before="70"/>
              <w:ind w:left="170"/>
              <w:rPr>
                <w:sz w:val="24"/>
              </w:rPr>
            </w:pPr>
            <w:r>
              <w:rPr>
                <w:sz w:val="24"/>
              </w:rPr>
              <w:t>2206.00.69</w:t>
            </w:r>
          </w:p>
        </w:tc>
        <w:tc>
          <w:tcPr>
            <w:tcW w:w="6091" w:type="dxa"/>
            <w:vMerge/>
            <w:tcBorders>
              <w:top w:val="nil"/>
            </w:tcBorders>
          </w:tcPr>
          <w:p>
            <w:pPr>
              <w:rPr>
                <w:sz w:val="2"/>
                <w:szCs w:val="2"/>
              </w:rPr>
            </w:pPr>
          </w:p>
        </w:tc>
      </w:tr>
      <w:tr>
        <w:trPr>
          <w:trHeight w:val="424" w:hRule="atLeast"/>
        </w:trPr>
        <w:tc>
          <w:tcPr>
            <w:tcW w:w="1361" w:type="dxa"/>
            <w:tcBorders>
              <w:top w:val="nil"/>
              <w:bottom w:val="nil"/>
              <w:right w:val="nil"/>
            </w:tcBorders>
          </w:tcPr>
          <w:p>
            <w:pPr>
              <w:pStyle w:val="TableParagraph"/>
              <w:spacing w:before="68"/>
              <w:rPr>
                <w:sz w:val="24"/>
              </w:rPr>
            </w:pPr>
            <w:r>
              <w:rPr>
                <w:sz w:val="24"/>
              </w:rPr>
              <w:t>2204.22.30</w:t>
            </w:r>
          </w:p>
        </w:tc>
        <w:tc>
          <w:tcPr>
            <w:tcW w:w="1903" w:type="dxa"/>
            <w:tcBorders>
              <w:top w:val="nil"/>
              <w:left w:val="nil"/>
              <w:bottom w:val="nil"/>
            </w:tcBorders>
          </w:tcPr>
          <w:p>
            <w:pPr>
              <w:pStyle w:val="TableParagraph"/>
              <w:spacing w:before="68"/>
              <w:ind w:left="170"/>
              <w:rPr>
                <w:sz w:val="24"/>
              </w:rPr>
            </w:pPr>
            <w:r>
              <w:rPr>
                <w:sz w:val="24"/>
              </w:rPr>
              <w:t>2207.10.00</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2204.22.90</w:t>
            </w:r>
          </w:p>
        </w:tc>
        <w:tc>
          <w:tcPr>
            <w:tcW w:w="1903" w:type="dxa"/>
            <w:tcBorders>
              <w:top w:val="nil"/>
              <w:left w:val="nil"/>
              <w:bottom w:val="nil"/>
            </w:tcBorders>
          </w:tcPr>
          <w:p>
            <w:pPr>
              <w:pStyle w:val="TableParagraph"/>
              <w:spacing w:before="70"/>
              <w:ind w:left="170"/>
              <w:rPr>
                <w:sz w:val="24"/>
              </w:rPr>
            </w:pPr>
            <w:r>
              <w:rPr>
                <w:sz w:val="24"/>
              </w:rPr>
              <w:t>2208.20.90</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2204.29.30</w:t>
            </w:r>
          </w:p>
        </w:tc>
        <w:tc>
          <w:tcPr>
            <w:tcW w:w="1903" w:type="dxa"/>
            <w:tcBorders>
              <w:top w:val="nil"/>
              <w:left w:val="nil"/>
              <w:bottom w:val="nil"/>
            </w:tcBorders>
          </w:tcPr>
          <w:p>
            <w:pPr>
              <w:pStyle w:val="TableParagraph"/>
              <w:spacing w:before="70"/>
              <w:ind w:left="170"/>
              <w:rPr>
                <w:sz w:val="24"/>
              </w:rPr>
            </w:pPr>
            <w:r>
              <w:rPr>
                <w:sz w:val="24"/>
              </w:rPr>
              <w:t>2208.30.00</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2204.29.90</w:t>
            </w:r>
          </w:p>
        </w:tc>
        <w:tc>
          <w:tcPr>
            <w:tcW w:w="1903" w:type="dxa"/>
            <w:tcBorders>
              <w:top w:val="nil"/>
              <w:left w:val="nil"/>
              <w:bottom w:val="nil"/>
            </w:tcBorders>
          </w:tcPr>
          <w:p>
            <w:pPr>
              <w:pStyle w:val="TableParagraph"/>
              <w:spacing w:before="70"/>
              <w:ind w:left="170"/>
              <w:rPr>
                <w:sz w:val="24"/>
              </w:rPr>
            </w:pPr>
            <w:r>
              <w:rPr>
                <w:sz w:val="24"/>
              </w:rPr>
              <w:t>2208.40.00</w:t>
            </w:r>
          </w:p>
        </w:tc>
        <w:tc>
          <w:tcPr>
            <w:tcW w:w="6091" w:type="dxa"/>
            <w:vMerge/>
            <w:tcBorders>
              <w:top w:val="nil"/>
            </w:tcBorders>
          </w:tcPr>
          <w:p>
            <w:pPr>
              <w:rPr>
                <w:sz w:val="2"/>
                <w:szCs w:val="2"/>
              </w:rPr>
            </w:pPr>
          </w:p>
        </w:tc>
      </w:tr>
      <w:tr>
        <w:trPr>
          <w:trHeight w:val="426" w:hRule="atLeast"/>
        </w:trPr>
        <w:tc>
          <w:tcPr>
            <w:tcW w:w="1361" w:type="dxa"/>
            <w:tcBorders>
              <w:top w:val="nil"/>
              <w:bottom w:val="nil"/>
              <w:right w:val="nil"/>
            </w:tcBorders>
          </w:tcPr>
          <w:p>
            <w:pPr>
              <w:pStyle w:val="TableParagraph"/>
              <w:spacing w:before="70"/>
              <w:rPr>
                <w:sz w:val="24"/>
              </w:rPr>
            </w:pPr>
            <w:r>
              <w:rPr>
                <w:sz w:val="24"/>
              </w:rPr>
              <w:t>2205.10.30</w:t>
            </w:r>
          </w:p>
        </w:tc>
        <w:tc>
          <w:tcPr>
            <w:tcW w:w="1903" w:type="dxa"/>
            <w:tcBorders>
              <w:top w:val="nil"/>
              <w:left w:val="nil"/>
              <w:bottom w:val="nil"/>
            </w:tcBorders>
          </w:tcPr>
          <w:p>
            <w:pPr>
              <w:pStyle w:val="TableParagraph"/>
              <w:spacing w:before="70"/>
              <w:ind w:left="170"/>
              <w:rPr>
                <w:sz w:val="24"/>
              </w:rPr>
            </w:pPr>
            <w:r>
              <w:rPr>
                <w:sz w:val="24"/>
              </w:rPr>
              <w:t>2208.50.00</w:t>
            </w:r>
          </w:p>
        </w:tc>
        <w:tc>
          <w:tcPr>
            <w:tcW w:w="6091" w:type="dxa"/>
            <w:vMerge/>
            <w:tcBorders>
              <w:top w:val="nil"/>
            </w:tcBorders>
          </w:tcPr>
          <w:p>
            <w:pPr>
              <w:rPr>
                <w:sz w:val="2"/>
                <w:szCs w:val="2"/>
              </w:rPr>
            </w:pPr>
          </w:p>
        </w:tc>
      </w:tr>
      <w:tr>
        <w:trPr>
          <w:trHeight w:val="424" w:hRule="atLeast"/>
        </w:trPr>
        <w:tc>
          <w:tcPr>
            <w:tcW w:w="1361" w:type="dxa"/>
            <w:tcBorders>
              <w:top w:val="nil"/>
              <w:bottom w:val="nil"/>
              <w:right w:val="nil"/>
            </w:tcBorders>
          </w:tcPr>
          <w:p>
            <w:pPr>
              <w:pStyle w:val="TableParagraph"/>
              <w:spacing w:before="70"/>
              <w:rPr>
                <w:sz w:val="24"/>
              </w:rPr>
            </w:pPr>
            <w:r>
              <w:rPr>
                <w:sz w:val="24"/>
              </w:rPr>
              <w:t>2205.10.90</w:t>
            </w:r>
          </w:p>
        </w:tc>
        <w:tc>
          <w:tcPr>
            <w:tcW w:w="1903" w:type="dxa"/>
            <w:tcBorders>
              <w:top w:val="nil"/>
              <w:left w:val="nil"/>
              <w:bottom w:val="nil"/>
            </w:tcBorders>
          </w:tcPr>
          <w:p>
            <w:pPr>
              <w:pStyle w:val="TableParagraph"/>
              <w:spacing w:before="70"/>
              <w:ind w:left="170"/>
              <w:rPr>
                <w:sz w:val="24"/>
              </w:rPr>
            </w:pPr>
            <w:r>
              <w:rPr>
                <w:sz w:val="24"/>
              </w:rPr>
              <w:t>2208.60.00</w:t>
            </w:r>
          </w:p>
        </w:tc>
        <w:tc>
          <w:tcPr>
            <w:tcW w:w="6091" w:type="dxa"/>
            <w:vMerge/>
            <w:tcBorders>
              <w:top w:val="nil"/>
            </w:tcBorders>
          </w:tcPr>
          <w:p>
            <w:pPr>
              <w:rPr>
                <w:sz w:val="2"/>
                <w:szCs w:val="2"/>
              </w:rPr>
            </w:pPr>
          </w:p>
        </w:tc>
      </w:tr>
      <w:tr>
        <w:trPr>
          <w:trHeight w:val="474" w:hRule="atLeast"/>
        </w:trPr>
        <w:tc>
          <w:tcPr>
            <w:tcW w:w="1361" w:type="dxa"/>
            <w:tcBorders>
              <w:top w:val="nil"/>
              <w:right w:val="nil"/>
            </w:tcBorders>
          </w:tcPr>
          <w:p>
            <w:pPr>
              <w:pStyle w:val="TableParagraph"/>
              <w:spacing w:before="68"/>
              <w:rPr>
                <w:sz w:val="24"/>
              </w:rPr>
            </w:pPr>
            <w:r>
              <w:rPr>
                <w:sz w:val="24"/>
              </w:rPr>
              <w:t>2205.90.30</w:t>
            </w:r>
          </w:p>
        </w:tc>
        <w:tc>
          <w:tcPr>
            <w:tcW w:w="1903" w:type="dxa"/>
            <w:tcBorders>
              <w:top w:val="nil"/>
              <w:left w:val="nil"/>
            </w:tcBorders>
          </w:tcPr>
          <w:p>
            <w:pPr>
              <w:pStyle w:val="TableParagraph"/>
              <w:spacing w:before="68"/>
              <w:ind w:left="170"/>
              <w:rPr>
                <w:sz w:val="24"/>
              </w:rPr>
            </w:pPr>
            <w:r>
              <w:rPr>
                <w:sz w:val="24"/>
              </w:rPr>
              <w:t>2208.70.00</w:t>
            </w:r>
          </w:p>
        </w:tc>
        <w:tc>
          <w:tcPr>
            <w:tcW w:w="6091" w:type="dxa"/>
            <w:vMerge/>
            <w:tcBorders>
              <w:top w:val="nil"/>
            </w:tcBorders>
          </w:tcPr>
          <w:p>
            <w:pPr>
              <w:rPr>
                <w:sz w:val="2"/>
                <w:szCs w:val="2"/>
              </w:rPr>
            </w:pPr>
          </w:p>
        </w:tc>
      </w:tr>
    </w:tbl>
    <w:p>
      <w:pPr>
        <w:spacing w:after="0"/>
        <w:rPr>
          <w:sz w:val="2"/>
          <w:szCs w:val="2"/>
        </w:rPr>
        <w:sectPr>
          <w:pgSz w:w="11910" w:h="16840"/>
          <w:pgMar w:header="708" w:footer="0" w:top="920" w:bottom="280" w:left="0" w:right="0"/>
        </w:sectPr>
      </w:pPr>
    </w:p>
    <w:p>
      <w:pPr>
        <w:pStyle w:val="BodyText"/>
        <w:spacing w:before="6" w:after="1"/>
        <w:rPr>
          <w:b/>
        </w:rPr>
      </w:pPr>
    </w:p>
    <w:tbl>
      <w:tblPr>
        <w:tblW w:w="0" w:type="auto"/>
        <w:jc w:val="left"/>
        <w:tblInd w:w="1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903"/>
        <w:gridCol w:w="6091"/>
      </w:tblGrid>
      <w:tr>
        <w:trPr>
          <w:trHeight w:val="820" w:hRule="atLeast"/>
        </w:trPr>
        <w:tc>
          <w:tcPr>
            <w:tcW w:w="3264" w:type="dxa"/>
            <w:gridSpan w:val="2"/>
          </w:tcPr>
          <w:p>
            <w:pPr>
              <w:pStyle w:val="TableParagraph"/>
              <w:spacing w:before="25"/>
              <w:rPr>
                <w:b/>
                <w:sz w:val="24"/>
              </w:rPr>
            </w:pPr>
            <w:r>
              <w:rPr>
                <w:b/>
                <w:sz w:val="24"/>
                <w:u w:val="thick"/>
              </w:rPr>
              <w:t>Customs Tariff Subheading</w:t>
            </w:r>
          </w:p>
        </w:tc>
        <w:tc>
          <w:tcPr>
            <w:tcW w:w="6091" w:type="dxa"/>
          </w:tcPr>
          <w:p>
            <w:pPr>
              <w:pStyle w:val="TableParagraph"/>
              <w:spacing w:before="25"/>
              <w:ind w:left="105"/>
              <w:rPr>
                <w:b/>
                <w:sz w:val="24"/>
              </w:rPr>
            </w:pPr>
            <w:r>
              <w:rPr>
                <w:b/>
                <w:sz w:val="24"/>
                <w:u w:val="thick"/>
              </w:rPr>
              <w:t>New Customs Duty Rate for Excise-Equivalent Goods</w:t>
            </w:r>
          </w:p>
        </w:tc>
      </w:tr>
      <w:tr>
        <w:trPr>
          <w:trHeight w:val="379" w:hRule="atLeast"/>
        </w:trPr>
        <w:tc>
          <w:tcPr>
            <w:tcW w:w="1361" w:type="dxa"/>
            <w:tcBorders>
              <w:bottom w:val="nil"/>
              <w:right w:val="nil"/>
            </w:tcBorders>
          </w:tcPr>
          <w:p>
            <w:pPr>
              <w:pStyle w:val="TableParagraph"/>
              <w:spacing w:before="25"/>
              <w:rPr>
                <w:sz w:val="24"/>
              </w:rPr>
            </w:pPr>
            <w:r>
              <w:rPr>
                <w:sz w:val="24"/>
              </w:rPr>
              <w:t>2205.90.90</w:t>
            </w:r>
          </w:p>
        </w:tc>
        <w:tc>
          <w:tcPr>
            <w:tcW w:w="1903" w:type="dxa"/>
            <w:tcBorders>
              <w:left w:val="nil"/>
              <w:bottom w:val="nil"/>
            </w:tcBorders>
          </w:tcPr>
          <w:p>
            <w:pPr>
              <w:pStyle w:val="TableParagraph"/>
              <w:spacing w:before="25"/>
              <w:ind w:left="170"/>
              <w:rPr>
                <w:sz w:val="24"/>
              </w:rPr>
            </w:pPr>
            <w:r>
              <w:rPr>
                <w:sz w:val="24"/>
              </w:rPr>
              <w:t>2208.90.20</w:t>
            </w:r>
          </w:p>
        </w:tc>
        <w:tc>
          <w:tcPr>
            <w:tcW w:w="6091" w:type="dxa"/>
            <w:vMerge w:val="restart"/>
          </w:tcPr>
          <w:p>
            <w:pPr>
              <w:pStyle w:val="TableParagraph"/>
              <w:spacing w:line="237" w:lineRule="auto"/>
              <w:ind w:left="105" w:right="957"/>
              <w:rPr>
                <w:sz w:val="24"/>
              </w:rPr>
            </w:pPr>
            <w:r>
              <w:rPr>
                <w:sz w:val="24"/>
              </w:rPr>
              <w:t>$82.27 per litre of alcohol, plus customs duty where applicable</w:t>
            </w:r>
          </w:p>
        </w:tc>
      </w:tr>
      <w:tr>
        <w:trPr>
          <w:trHeight w:val="424" w:hRule="atLeast"/>
        </w:trPr>
        <w:tc>
          <w:tcPr>
            <w:tcW w:w="1361" w:type="dxa"/>
            <w:tcBorders>
              <w:top w:val="nil"/>
              <w:bottom w:val="nil"/>
              <w:right w:val="nil"/>
            </w:tcBorders>
          </w:tcPr>
          <w:p>
            <w:pPr>
              <w:pStyle w:val="TableParagraph"/>
              <w:spacing w:before="68"/>
              <w:rPr>
                <w:sz w:val="24"/>
              </w:rPr>
            </w:pPr>
            <w:r>
              <w:rPr>
                <w:sz w:val="24"/>
              </w:rPr>
              <w:t>2206.00.21</w:t>
            </w:r>
          </w:p>
        </w:tc>
        <w:tc>
          <w:tcPr>
            <w:tcW w:w="1903" w:type="dxa"/>
            <w:tcBorders>
              <w:top w:val="nil"/>
              <w:left w:val="nil"/>
              <w:bottom w:val="nil"/>
            </w:tcBorders>
          </w:tcPr>
          <w:p>
            <w:pPr>
              <w:pStyle w:val="TableParagraph"/>
              <w:spacing w:before="68"/>
              <w:ind w:left="170"/>
              <w:rPr>
                <w:sz w:val="24"/>
              </w:rPr>
            </w:pPr>
            <w:r>
              <w:rPr>
                <w:sz w:val="24"/>
              </w:rPr>
              <w:t>2208.90.90</w:t>
            </w:r>
          </w:p>
        </w:tc>
        <w:tc>
          <w:tcPr>
            <w:tcW w:w="6091" w:type="dxa"/>
            <w:vMerge/>
            <w:tcBorders>
              <w:top w:val="nil"/>
            </w:tcBorders>
          </w:tcPr>
          <w:p>
            <w:pPr>
              <w:rPr>
                <w:sz w:val="2"/>
                <w:szCs w:val="2"/>
              </w:rPr>
            </w:pPr>
          </w:p>
        </w:tc>
      </w:tr>
      <w:tr>
        <w:trPr>
          <w:trHeight w:val="476" w:hRule="atLeast"/>
        </w:trPr>
        <w:tc>
          <w:tcPr>
            <w:tcW w:w="1361" w:type="dxa"/>
            <w:tcBorders>
              <w:top w:val="nil"/>
              <w:right w:val="nil"/>
            </w:tcBorders>
          </w:tcPr>
          <w:p>
            <w:pPr>
              <w:pStyle w:val="TableParagraph"/>
              <w:spacing w:before="70"/>
              <w:rPr>
                <w:sz w:val="24"/>
              </w:rPr>
            </w:pPr>
            <w:r>
              <w:rPr>
                <w:sz w:val="24"/>
              </w:rPr>
              <w:t>2206.00.22</w:t>
            </w:r>
          </w:p>
        </w:tc>
        <w:tc>
          <w:tcPr>
            <w:tcW w:w="1903" w:type="dxa"/>
            <w:tcBorders>
              <w:top w:val="nil"/>
              <w:left w:val="nil"/>
            </w:tcBorders>
          </w:tcPr>
          <w:p>
            <w:pPr>
              <w:pStyle w:val="TableParagraph"/>
              <w:ind w:left="0"/>
              <w:rPr>
                <w:sz w:val="22"/>
              </w:rPr>
            </w:pPr>
          </w:p>
        </w:tc>
        <w:tc>
          <w:tcPr>
            <w:tcW w:w="6091" w:type="dxa"/>
            <w:vMerge/>
            <w:tcBorders>
              <w:top w:val="nil"/>
            </w:tcBorders>
          </w:tcPr>
          <w:p>
            <w:pPr>
              <w:rPr>
                <w:sz w:val="2"/>
                <w:szCs w:val="2"/>
              </w:rPr>
            </w:pPr>
          </w:p>
        </w:tc>
      </w:tr>
      <w:tr>
        <w:trPr>
          <w:trHeight w:val="700" w:hRule="atLeast"/>
        </w:trPr>
        <w:tc>
          <w:tcPr>
            <w:tcW w:w="3264" w:type="dxa"/>
            <w:gridSpan w:val="2"/>
          </w:tcPr>
          <w:p>
            <w:pPr>
              <w:pStyle w:val="TableParagraph"/>
              <w:spacing w:before="20"/>
              <w:rPr>
                <w:sz w:val="24"/>
              </w:rPr>
            </w:pPr>
            <w:r>
              <w:rPr>
                <w:sz w:val="24"/>
              </w:rPr>
              <w:t>2208.20.10</w:t>
            </w:r>
          </w:p>
        </w:tc>
        <w:tc>
          <w:tcPr>
            <w:tcW w:w="6091" w:type="dxa"/>
          </w:tcPr>
          <w:p>
            <w:pPr>
              <w:pStyle w:val="TableParagraph"/>
              <w:spacing w:line="242" w:lineRule="auto" w:before="20"/>
              <w:ind w:left="105" w:right="957"/>
              <w:rPr>
                <w:sz w:val="24"/>
              </w:rPr>
            </w:pPr>
            <w:r>
              <w:rPr>
                <w:sz w:val="24"/>
              </w:rPr>
              <w:t>$76.84 per litre of alcohol, plus customs duty where applicable</w:t>
            </w:r>
          </w:p>
        </w:tc>
      </w:tr>
      <w:tr>
        <w:trPr>
          <w:trHeight w:val="9532" w:hRule="atLeast"/>
        </w:trPr>
        <w:tc>
          <w:tcPr>
            <w:tcW w:w="1361" w:type="dxa"/>
            <w:tcBorders>
              <w:right w:val="nil"/>
            </w:tcBorders>
          </w:tcPr>
          <w:p>
            <w:pPr>
              <w:pStyle w:val="TableParagraph"/>
              <w:spacing w:before="20"/>
              <w:rPr>
                <w:sz w:val="24"/>
              </w:rPr>
            </w:pPr>
            <w:r>
              <w:rPr>
                <w:sz w:val="24"/>
              </w:rPr>
              <w:t>2207.20.10</w:t>
            </w:r>
          </w:p>
          <w:p>
            <w:pPr>
              <w:pStyle w:val="TableParagraph"/>
              <w:spacing w:before="123"/>
              <w:rPr>
                <w:sz w:val="24"/>
              </w:rPr>
            </w:pPr>
            <w:r>
              <w:rPr>
                <w:sz w:val="24"/>
              </w:rPr>
              <w:t>2707.10.00</w:t>
            </w:r>
          </w:p>
          <w:p>
            <w:pPr>
              <w:pStyle w:val="TableParagraph"/>
              <w:spacing w:before="122"/>
              <w:rPr>
                <w:sz w:val="24"/>
              </w:rPr>
            </w:pPr>
            <w:r>
              <w:rPr>
                <w:sz w:val="24"/>
              </w:rPr>
              <w:t>2707.20.00</w:t>
            </w:r>
          </w:p>
          <w:p>
            <w:pPr>
              <w:pStyle w:val="TableParagraph"/>
              <w:spacing w:before="118"/>
              <w:rPr>
                <w:sz w:val="24"/>
              </w:rPr>
            </w:pPr>
            <w:r>
              <w:rPr>
                <w:sz w:val="24"/>
              </w:rPr>
              <w:t>2707.30.00</w:t>
            </w:r>
          </w:p>
          <w:p>
            <w:pPr>
              <w:pStyle w:val="TableParagraph"/>
              <w:spacing w:before="122"/>
              <w:rPr>
                <w:sz w:val="24"/>
              </w:rPr>
            </w:pPr>
            <w:r>
              <w:rPr>
                <w:sz w:val="24"/>
              </w:rPr>
              <w:t>2707.50.00</w:t>
            </w:r>
          </w:p>
          <w:p>
            <w:pPr>
              <w:pStyle w:val="TableParagraph"/>
              <w:spacing w:before="118"/>
              <w:rPr>
                <w:sz w:val="24"/>
              </w:rPr>
            </w:pPr>
            <w:r>
              <w:rPr>
                <w:sz w:val="24"/>
              </w:rPr>
              <w:t>2709.00.90</w:t>
            </w:r>
          </w:p>
          <w:p>
            <w:pPr>
              <w:pStyle w:val="TableParagraph"/>
              <w:spacing w:before="122"/>
              <w:rPr>
                <w:sz w:val="24"/>
              </w:rPr>
            </w:pPr>
            <w:r>
              <w:rPr>
                <w:sz w:val="24"/>
              </w:rPr>
              <w:t>2710.12.62</w:t>
            </w:r>
          </w:p>
          <w:p>
            <w:pPr>
              <w:pStyle w:val="TableParagraph"/>
              <w:spacing w:before="118"/>
              <w:rPr>
                <w:sz w:val="24"/>
              </w:rPr>
            </w:pPr>
            <w:r>
              <w:rPr>
                <w:sz w:val="24"/>
              </w:rPr>
              <w:t>2710.12.69</w:t>
            </w:r>
          </w:p>
          <w:p>
            <w:pPr>
              <w:pStyle w:val="TableParagraph"/>
              <w:spacing w:before="122"/>
              <w:rPr>
                <w:sz w:val="24"/>
              </w:rPr>
            </w:pPr>
            <w:r>
              <w:rPr>
                <w:sz w:val="24"/>
              </w:rPr>
              <w:t>2710.12.70</w:t>
            </w:r>
          </w:p>
          <w:p>
            <w:pPr>
              <w:pStyle w:val="TableParagraph"/>
              <w:spacing w:before="118"/>
              <w:rPr>
                <w:sz w:val="24"/>
              </w:rPr>
            </w:pPr>
            <w:r>
              <w:rPr>
                <w:sz w:val="24"/>
              </w:rPr>
              <w:t>2710.19.16</w:t>
            </w:r>
          </w:p>
          <w:p>
            <w:pPr>
              <w:pStyle w:val="TableParagraph"/>
              <w:spacing w:before="122"/>
              <w:rPr>
                <w:sz w:val="24"/>
              </w:rPr>
            </w:pPr>
            <w:r>
              <w:rPr>
                <w:sz w:val="24"/>
              </w:rPr>
              <w:t>2710.19.22</w:t>
            </w:r>
          </w:p>
          <w:p>
            <w:pPr>
              <w:pStyle w:val="TableParagraph"/>
              <w:spacing w:before="118"/>
              <w:rPr>
                <w:sz w:val="24"/>
              </w:rPr>
            </w:pPr>
            <w:r>
              <w:rPr>
                <w:sz w:val="24"/>
              </w:rPr>
              <w:t>2710.19.28</w:t>
            </w:r>
          </w:p>
          <w:p>
            <w:pPr>
              <w:pStyle w:val="TableParagraph"/>
              <w:spacing w:before="122"/>
              <w:rPr>
                <w:sz w:val="24"/>
              </w:rPr>
            </w:pPr>
            <w:r>
              <w:rPr>
                <w:sz w:val="24"/>
              </w:rPr>
              <w:t>2710.19.51</w:t>
            </w:r>
          </w:p>
          <w:p>
            <w:pPr>
              <w:pStyle w:val="TableParagraph"/>
              <w:spacing w:before="118"/>
              <w:rPr>
                <w:sz w:val="24"/>
              </w:rPr>
            </w:pPr>
            <w:r>
              <w:rPr>
                <w:sz w:val="24"/>
              </w:rPr>
              <w:t>2710.19.52</w:t>
            </w:r>
          </w:p>
          <w:p>
            <w:pPr>
              <w:pStyle w:val="TableParagraph"/>
              <w:spacing w:before="122"/>
              <w:rPr>
                <w:sz w:val="24"/>
              </w:rPr>
            </w:pPr>
            <w:r>
              <w:rPr>
                <w:sz w:val="24"/>
              </w:rPr>
              <w:t>2710.19.53</w:t>
            </w:r>
          </w:p>
          <w:p>
            <w:pPr>
              <w:pStyle w:val="TableParagraph"/>
              <w:spacing w:before="118"/>
              <w:rPr>
                <w:sz w:val="24"/>
              </w:rPr>
            </w:pPr>
            <w:r>
              <w:rPr>
                <w:sz w:val="24"/>
              </w:rPr>
              <w:t>2710.19.70</w:t>
            </w:r>
          </w:p>
          <w:p>
            <w:pPr>
              <w:pStyle w:val="TableParagraph"/>
              <w:spacing w:before="122"/>
              <w:rPr>
                <w:sz w:val="24"/>
              </w:rPr>
            </w:pPr>
            <w:r>
              <w:rPr>
                <w:sz w:val="24"/>
              </w:rPr>
              <w:t>2710.20.00</w:t>
            </w:r>
          </w:p>
          <w:p>
            <w:pPr>
              <w:pStyle w:val="TableParagraph"/>
              <w:spacing w:before="118"/>
              <w:rPr>
                <w:sz w:val="24"/>
              </w:rPr>
            </w:pPr>
            <w:r>
              <w:rPr>
                <w:sz w:val="24"/>
              </w:rPr>
              <w:t>2710.91.16</w:t>
            </w:r>
          </w:p>
          <w:p>
            <w:pPr>
              <w:pStyle w:val="TableParagraph"/>
              <w:spacing w:before="118"/>
              <w:rPr>
                <w:sz w:val="24"/>
              </w:rPr>
            </w:pPr>
            <w:r>
              <w:rPr>
                <w:sz w:val="24"/>
              </w:rPr>
              <w:t>2710.91.22</w:t>
            </w:r>
          </w:p>
          <w:p>
            <w:pPr>
              <w:pStyle w:val="TableParagraph"/>
              <w:spacing w:before="122"/>
              <w:rPr>
                <w:sz w:val="24"/>
              </w:rPr>
            </w:pPr>
            <w:r>
              <w:rPr>
                <w:sz w:val="24"/>
              </w:rPr>
              <w:t>2710.91.28</w:t>
            </w:r>
          </w:p>
          <w:p>
            <w:pPr>
              <w:pStyle w:val="TableParagraph"/>
              <w:spacing w:before="118"/>
              <w:rPr>
                <w:sz w:val="24"/>
              </w:rPr>
            </w:pPr>
            <w:r>
              <w:rPr>
                <w:sz w:val="24"/>
              </w:rPr>
              <w:t>2710.91.51</w:t>
            </w:r>
          </w:p>
          <w:p>
            <w:pPr>
              <w:pStyle w:val="TableParagraph"/>
              <w:spacing w:before="122"/>
              <w:rPr>
                <w:sz w:val="24"/>
              </w:rPr>
            </w:pPr>
            <w:r>
              <w:rPr>
                <w:sz w:val="24"/>
              </w:rPr>
              <w:t>2710.91.52</w:t>
            </w:r>
          </w:p>
          <w:p>
            <w:pPr>
              <w:pStyle w:val="TableParagraph"/>
              <w:spacing w:before="118"/>
              <w:rPr>
                <w:sz w:val="24"/>
              </w:rPr>
            </w:pPr>
            <w:r>
              <w:rPr>
                <w:sz w:val="24"/>
              </w:rPr>
              <w:t>2710.91.53</w:t>
            </w:r>
          </w:p>
          <w:p>
            <w:pPr>
              <w:pStyle w:val="TableParagraph"/>
              <w:spacing w:before="122"/>
              <w:rPr>
                <w:sz w:val="24"/>
              </w:rPr>
            </w:pPr>
            <w:r>
              <w:rPr>
                <w:sz w:val="24"/>
              </w:rPr>
              <w:t>2710.91.62</w:t>
            </w:r>
          </w:p>
        </w:tc>
        <w:tc>
          <w:tcPr>
            <w:tcW w:w="1903" w:type="dxa"/>
            <w:tcBorders>
              <w:left w:val="nil"/>
            </w:tcBorders>
          </w:tcPr>
          <w:p>
            <w:pPr>
              <w:pStyle w:val="TableParagraph"/>
              <w:spacing w:before="20"/>
              <w:ind w:left="170"/>
              <w:rPr>
                <w:sz w:val="24"/>
              </w:rPr>
            </w:pPr>
            <w:r>
              <w:rPr>
                <w:sz w:val="24"/>
              </w:rPr>
              <w:t>2710.91.69</w:t>
            </w:r>
          </w:p>
          <w:p>
            <w:pPr>
              <w:pStyle w:val="TableParagraph"/>
              <w:spacing w:before="123"/>
              <w:ind w:left="170"/>
              <w:rPr>
                <w:sz w:val="24"/>
              </w:rPr>
            </w:pPr>
            <w:r>
              <w:rPr>
                <w:sz w:val="24"/>
              </w:rPr>
              <w:t>2710.91.70</w:t>
            </w:r>
          </w:p>
          <w:p>
            <w:pPr>
              <w:pStyle w:val="TableParagraph"/>
              <w:spacing w:before="122"/>
              <w:ind w:left="170"/>
              <w:rPr>
                <w:sz w:val="24"/>
              </w:rPr>
            </w:pPr>
            <w:r>
              <w:rPr>
                <w:sz w:val="24"/>
              </w:rPr>
              <w:t>2710.91.80</w:t>
            </w:r>
          </w:p>
          <w:p>
            <w:pPr>
              <w:pStyle w:val="TableParagraph"/>
              <w:spacing w:before="118"/>
              <w:ind w:left="170"/>
              <w:rPr>
                <w:sz w:val="24"/>
              </w:rPr>
            </w:pPr>
            <w:r>
              <w:rPr>
                <w:sz w:val="24"/>
              </w:rPr>
              <w:t>2710.99.16</w:t>
            </w:r>
          </w:p>
          <w:p>
            <w:pPr>
              <w:pStyle w:val="TableParagraph"/>
              <w:spacing w:before="122"/>
              <w:ind w:left="170"/>
              <w:rPr>
                <w:sz w:val="24"/>
              </w:rPr>
            </w:pPr>
            <w:r>
              <w:rPr>
                <w:sz w:val="24"/>
              </w:rPr>
              <w:t>2710.99.22</w:t>
            </w:r>
          </w:p>
          <w:p>
            <w:pPr>
              <w:pStyle w:val="TableParagraph"/>
              <w:spacing w:before="118"/>
              <w:ind w:left="170"/>
              <w:rPr>
                <w:sz w:val="24"/>
              </w:rPr>
            </w:pPr>
            <w:r>
              <w:rPr>
                <w:sz w:val="24"/>
              </w:rPr>
              <w:t>2710.99.28</w:t>
            </w:r>
          </w:p>
          <w:p>
            <w:pPr>
              <w:pStyle w:val="TableParagraph"/>
              <w:spacing w:before="122"/>
              <w:ind w:left="170"/>
              <w:rPr>
                <w:sz w:val="24"/>
              </w:rPr>
            </w:pPr>
            <w:r>
              <w:rPr>
                <w:sz w:val="24"/>
              </w:rPr>
              <w:t>2710.99.51</w:t>
            </w:r>
          </w:p>
          <w:p>
            <w:pPr>
              <w:pStyle w:val="TableParagraph"/>
              <w:spacing w:before="118"/>
              <w:ind w:left="170"/>
              <w:rPr>
                <w:sz w:val="24"/>
              </w:rPr>
            </w:pPr>
            <w:r>
              <w:rPr>
                <w:sz w:val="24"/>
              </w:rPr>
              <w:t>2710.99.52</w:t>
            </w:r>
          </w:p>
          <w:p>
            <w:pPr>
              <w:pStyle w:val="TableParagraph"/>
              <w:spacing w:before="122"/>
              <w:ind w:left="170"/>
              <w:rPr>
                <w:sz w:val="24"/>
              </w:rPr>
            </w:pPr>
            <w:r>
              <w:rPr>
                <w:sz w:val="24"/>
              </w:rPr>
              <w:t>2710.99.53</w:t>
            </w:r>
          </w:p>
          <w:p>
            <w:pPr>
              <w:pStyle w:val="TableParagraph"/>
              <w:spacing w:before="118"/>
              <w:ind w:left="170"/>
              <w:rPr>
                <w:sz w:val="24"/>
              </w:rPr>
            </w:pPr>
            <w:r>
              <w:rPr>
                <w:sz w:val="24"/>
              </w:rPr>
              <w:t>2710.99.62</w:t>
            </w:r>
          </w:p>
          <w:p>
            <w:pPr>
              <w:pStyle w:val="TableParagraph"/>
              <w:spacing w:before="122"/>
              <w:ind w:left="170"/>
              <w:rPr>
                <w:sz w:val="24"/>
              </w:rPr>
            </w:pPr>
            <w:r>
              <w:rPr>
                <w:sz w:val="24"/>
              </w:rPr>
              <w:t>2710.99.69</w:t>
            </w:r>
          </w:p>
          <w:p>
            <w:pPr>
              <w:pStyle w:val="TableParagraph"/>
              <w:spacing w:before="118"/>
              <w:ind w:left="170"/>
              <w:rPr>
                <w:sz w:val="24"/>
              </w:rPr>
            </w:pPr>
            <w:r>
              <w:rPr>
                <w:sz w:val="24"/>
              </w:rPr>
              <w:t>2710.99.70</w:t>
            </w:r>
          </w:p>
          <w:p>
            <w:pPr>
              <w:pStyle w:val="TableParagraph"/>
              <w:spacing w:before="122"/>
              <w:ind w:left="170"/>
              <w:rPr>
                <w:sz w:val="24"/>
              </w:rPr>
            </w:pPr>
            <w:r>
              <w:rPr>
                <w:sz w:val="24"/>
              </w:rPr>
              <w:t>2710.99.80</w:t>
            </w:r>
          </w:p>
          <w:p>
            <w:pPr>
              <w:pStyle w:val="TableParagraph"/>
              <w:spacing w:before="118"/>
              <w:ind w:left="170"/>
              <w:rPr>
                <w:sz w:val="24"/>
              </w:rPr>
            </w:pPr>
            <w:r>
              <w:rPr>
                <w:sz w:val="24"/>
              </w:rPr>
              <w:t>2902.20.00</w:t>
            </w:r>
          </w:p>
          <w:p>
            <w:pPr>
              <w:pStyle w:val="TableParagraph"/>
              <w:spacing w:before="122"/>
              <w:ind w:left="170"/>
              <w:rPr>
                <w:sz w:val="24"/>
              </w:rPr>
            </w:pPr>
            <w:r>
              <w:rPr>
                <w:sz w:val="24"/>
              </w:rPr>
              <w:t>2902.30.00</w:t>
            </w:r>
          </w:p>
          <w:p>
            <w:pPr>
              <w:pStyle w:val="TableParagraph"/>
              <w:spacing w:before="118"/>
              <w:ind w:left="170"/>
              <w:rPr>
                <w:sz w:val="24"/>
              </w:rPr>
            </w:pPr>
            <w:r>
              <w:rPr>
                <w:sz w:val="24"/>
              </w:rPr>
              <w:t>2902.41.00</w:t>
            </w:r>
          </w:p>
          <w:p>
            <w:pPr>
              <w:pStyle w:val="TableParagraph"/>
              <w:spacing w:before="122"/>
              <w:ind w:left="170"/>
              <w:rPr>
                <w:sz w:val="24"/>
              </w:rPr>
            </w:pPr>
            <w:r>
              <w:rPr>
                <w:sz w:val="24"/>
              </w:rPr>
              <w:t>2902.42.00</w:t>
            </w:r>
          </w:p>
          <w:p>
            <w:pPr>
              <w:pStyle w:val="TableParagraph"/>
              <w:spacing w:before="118"/>
              <w:ind w:left="170"/>
              <w:rPr>
                <w:sz w:val="24"/>
              </w:rPr>
            </w:pPr>
            <w:r>
              <w:rPr>
                <w:sz w:val="24"/>
              </w:rPr>
              <w:t>2902.43.00</w:t>
            </w:r>
          </w:p>
          <w:p>
            <w:pPr>
              <w:pStyle w:val="TableParagraph"/>
              <w:spacing w:before="118"/>
              <w:ind w:left="170"/>
              <w:rPr>
                <w:sz w:val="24"/>
              </w:rPr>
            </w:pPr>
            <w:r>
              <w:rPr>
                <w:sz w:val="24"/>
              </w:rPr>
              <w:t>2902.44.00</w:t>
            </w:r>
          </w:p>
          <w:p>
            <w:pPr>
              <w:pStyle w:val="TableParagraph"/>
              <w:spacing w:before="122"/>
              <w:ind w:left="170"/>
              <w:rPr>
                <w:sz w:val="24"/>
              </w:rPr>
            </w:pPr>
            <w:r>
              <w:rPr>
                <w:sz w:val="24"/>
              </w:rPr>
              <w:t>3817.00.10</w:t>
            </w:r>
          </w:p>
          <w:p>
            <w:pPr>
              <w:pStyle w:val="TableParagraph"/>
              <w:spacing w:before="118"/>
              <w:ind w:left="170"/>
              <w:rPr>
                <w:sz w:val="24"/>
              </w:rPr>
            </w:pPr>
            <w:r>
              <w:rPr>
                <w:sz w:val="24"/>
              </w:rPr>
              <w:t>3824.99.30</w:t>
            </w:r>
          </w:p>
          <w:p>
            <w:pPr>
              <w:pStyle w:val="TableParagraph"/>
              <w:spacing w:before="122"/>
              <w:ind w:left="170"/>
              <w:rPr>
                <w:sz w:val="24"/>
              </w:rPr>
            </w:pPr>
            <w:r>
              <w:rPr>
                <w:sz w:val="24"/>
              </w:rPr>
              <w:t>3824.99.40</w:t>
            </w:r>
          </w:p>
          <w:p>
            <w:pPr>
              <w:pStyle w:val="TableParagraph"/>
              <w:spacing w:before="118"/>
              <w:ind w:left="170"/>
              <w:rPr>
                <w:sz w:val="24"/>
              </w:rPr>
            </w:pPr>
            <w:r>
              <w:rPr>
                <w:sz w:val="24"/>
              </w:rPr>
              <w:t>3826.00.10</w:t>
            </w:r>
          </w:p>
          <w:p>
            <w:pPr>
              <w:pStyle w:val="TableParagraph"/>
              <w:spacing w:before="122"/>
              <w:ind w:left="170"/>
              <w:rPr>
                <w:sz w:val="24"/>
              </w:rPr>
            </w:pPr>
            <w:r>
              <w:rPr>
                <w:sz w:val="24"/>
              </w:rPr>
              <w:t>3826.00.20</w:t>
            </w:r>
          </w:p>
        </w:tc>
        <w:tc>
          <w:tcPr>
            <w:tcW w:w="6091" w:type="dxa"/>
          </w:tcPr>
          <w:p>
            <w:pPr>
              <w:pStyle w:val="TableParagraph"/>
              <w:spacing w:line="242" w:lineRule="auto" w:before="20"/>
              <w:ind w:left="105" w:right="267"/>
              <w:jc w:val="both"/>
              <w:rPr>
                <w:sz w:val="24"/>
              </w:rPr>
            </w:pPr>
            <w:r>
              <w:rPr>
                <w:sz w:val="24"/>
              </w:rPr>
              <w:t>$0.401 per litre of petroleum fuels including diesel, ethanol and biodiesel, and blends thereof, plus customs duty where applicable</w:t>
            </w:r>
          </w:p>
        </w:tc>
      </w:tr>
      <w:tr>
        <w:trPr>
          <w:trHeight w:val="426" w:hRule="atLeast"/>
        </w:trPr>
        <w:tc>
          <w:tcPr>
            <w:tcW w:w="3264" w:type="dxa"/>
            <w:gridSpan w:val="2"/>
          </w:tcPr>
          <w:p>
            <w:pPr>
              <w:pStyle w:val="TableParagraph"/>
              <w:spacing w:before="25"/>
              <w:rPr>
                <w:sz w:val="24"/>
              </w:rPr>
            </w:pPr>
            <w:r>
              <w:rPr>
                <w:sz w:val="24"/>
              </w:rPr>
              <w:t>2711.11.00</w:t>
            </w:r>
          </w:p>
        </w:tc>
        <w:tc>
          <w:tcPr>
            <w:tcW w:w="6091" w:type="dxa"/>
          </w:tcPr>
          <w:p>
            <w:pPr>
              <w:pStyle w:val="TableParagraph"/>
              <w:spacing w:before="25"/>
              <w:ind w:left="105"/>
              <w:rPr>
                <w:sz w:val="24"/>
              </w:rPr>
            </w:pPr>
            <w:r>
              <w:rPr>
                <w:sz w:val="24"/>
              </w:rPr>
              <w:t>$0.274 per kilogram of liquefied natural gas</w:t>
            </w:r>
          </w:p>
        </w:tc>
      </w:tr>
      <w:tr>
        <w:trPr>
          <w:trHeight w:val="426" w:hRule="atLeast"/>
        </w:trPr>
        <w:tc>
          <w:tcPr>
            <w:tcW w:w="3264" w:type="dxa"/>
            <w:gridSpan w:val="2"/>
          </w:tcPr>
          <w:p>
            <w:pPr>
              <w:pStyle w:val="TableParagraph"/>
              <w:spacing w:before="20"/>
              <w:rPr>
                <w:sz w:val="24"/>
              </w:rPr>
            </w:pPr>
            <w:r>
              <w:rPr>
                <w:sz w:val="24"/>
              </w:rPr>
              <w:t>2711.21.10</w:t>
            </w:r>
          </w:p>
        </w:tc>
        <w:tc>
          <w:tcPr>
            <w:tcW w:w="6091" w:type="dxa"/>
          </w:tcPr>
          <w:p>
            <w:pPr>
              <w:pStyle w:val="TableParagraph"/>
              <w:spacing w:before="20"/>
              <w:ind w:left="105"/>
              <w:rPr>
                <w:sz w:val="24"/>
              </w:rPr>
            </w:pPr>
            <w:r>
              <w:rPr>
                <w:sz w:val="24"/>
              </w:rPr>
              <w:t>$0.274 per kilogram of compressed natural gas</w:t>
            </w:r>
          </w:p>
        </w:tc>
      </w:tr>
      <w:tr>
        <w:trPr>
          <w:trHeight w:val="426" w:hRule="atLeast"/>
        </w:trPr>
        <w:tc>
          <w:tcPr>
            <w:tcW w:w="1361" w:type="dxa"/>
            <w:tcBorders>
              <w:right w:val="nil"/>
            </w:tcBorders>
          </w:tcPr>
          <w:p>
            <w:pPr>
              <w:pStyle w:val="TableParagraph"/>
              <w:spacing w:before="20"/>
              <w:rPr>
                <w:sz w:val="24"/>
              </w:rPr>
            </w:pPr>
            <w:r>
              <w:rPr>
                <w:sz w:val="24"/>
              </w:rPr>
              <w:t>2711.12.10</w:t>
            </w:r>
          </w:p>
        </w:tc>
        <w:tc>
          <w:tcPr>
            <w:tcW w:w="1903" w:type="dxa"/>
            <w:tcBorders>
              <w:left w:val="nil"/>
            </w:tcBorders>
          </w:tcPr>
          <w:p>
            <w:pPr>
              <w:pStyle w:val="TableParagraph"/>
              <w:spacing w:before="20"/>
              <w:ind w:left="170"/>
              <w:rPr>
                <w:sz w:val="24"/>
              </w:rPr>
            </w:pPr>
            <w:r>
              <w:rPr>
                <w:sz w:val="24"/>
              </w:rPr>
              <w:t>2711.13.10</w:t>
            </w:r>
          </w:p>
        </w:tc>
        <w:tc>
          <w:tcPr>
            <w:tcW w:w="6091" w:type="dxa"/>
          </w:tcPr>
          <w:p>
            <w:pPr>
              <w:pStyle w:val="TableParagraph"/>
              <w:spacing w:before="20"/>
              <w:ind w:left="105"/>
              <w:rPr>
                <w:sz w:val="24"/>
              </w:rPr>
            </w:pPr>
            <w:r>
              <w:rPr>
                <w:sz w:val="24"/>
              </w:rPr>
              <w:t>$0.131 per litre of liquefied petroleum gas</w:t>
            </w:r>
          </w:p>
        </w:tc>
      </w:tr>
    </w:tbl>
    <w:p>
      <w:pPr>
        <w:spacing w:after="0"/>
        <w:rPr>
          <w:sz w:val="24"/>
        </w:rPr>
        <w:sectPr>
          <w:pgSz w:w="11910" w:h="16840"/>
          <w:pgMar w:header="708" w:footer="0" w:top="920" w:bottom="280" w:left="0" w:right="0"/>
        </w:sectPr>
      </w:pPr>
    </w:p>
    <w:p>
      <w:pPr>
        <w:pStyle w:val="BodyText"/>
        <w:spacing w:before="5"/>
        <w:rPr>
          <w:b/>
          <w:sz w:val="16"/>
        </w:rPr>
      </w:pPr>
    </w:p>
    <w:p>
      <w:pPr>
        <w:tabs>
          <w:tab w:pos="2966" w:val="left" w:leader="none"/>
        </w:tabs>
        <w:spacing w:line="242" w:lineRule="auto" w:before="90"/>
        <w:ind w:left="2942" w:right="2397" w:hanging="1656"/>
        <w:jc w:val="left"/>
        <w:rPr>
          <w:b/>
          <w:sz w:val="24"/>
        </w:rPr>
      </w:pPr>
      <w:r>
        <w:rPr>
          <w:b/>
          <w:sz w:val="24"/>
        </w:rPr>
        <w:t>TABLE</w:t>
      </w:r>
      <w:r>
        <w:rPr>
          <w:b/>
          <w:spacing w:val="-1"/>
          <w:sz w:val="24"/>
        </w:rPr>
        <w:t> </w:t>
      </w:r>
      <w:r>
        <w:rPr>
          <w:b/>
          <w:sz w:val="24"/>
        </w:rPr>
        <w:t>2:</w:t>
        <w:tab/>
        <w:tab/>
      </w:r>
      <w:r>
        <w:rPr>
          <w:rFonts w:ascii="TimesNewRomanPS-BoldItalicMT"/>
          <w:b/>
          <w:i/>
          <w:sz w:val="24"/>
        </w:rPr>
        <w:t>EXCISE TARIFF ACT 1921 </w:t>
      </w:r>
      <w:r>
        <w:rPr>
          <w:b/>
          <w:sz w:val="24"/>
        </w:rPr>
        <w:t>- EXCISE ITEMS AFFECTED</w:t>
      </w:r>
      <w:r>
        <w:rPr>
          <w:b/>
          <w:spacing w:val="-26"/>
          <w:sz w:val="24"/>
        </w:rPr>
        <w:t> </w:t>
      </w:r>
      <w:r>
        <w:rPr>
          <w:b/>
          <w:sz w:val="24"/>
        </w:rPr>
        <w:t>BY 1 FEBRUARY 2017 CPI</w:t>
      </w:r>
      <w:r>
        <w:rPr>
          <w:b/>
          <w:spacing w:val="3"/>
          <w:sz w:val="24"/>
        </w:rPr>
        <w:t> </w:t>
      </w:r>
      <w:r>
        <w:rPr>
          <w:b/>
          <w:sz w:val="24"/>
        </w:rPr>
        <w:t>INDEXATION</w:t>
      </w:r>
    </w:p>
    <w:p>
      <w:pPr>
        <w:pStyle w:val="BodyText"/>
        <w:spacing w:before="9"/>
        <w:rPr>
          <w:b/>
          <w:sz w:val="27"/>
        </w:rPr>
      </w:pPr>
    </w:p>
    <w:tbl>
      <w:tblPr>
        <w:tblW w:w="0" w:type="auto"/>
        <w:jc w:val="left"/>
        <w:tblInd w:w="1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663"/>
      </w:tblGrid>
      <w:tr>
        <w:trPr>
          <w:trHeight w:val="830" w:hRule="atLeast"/>
        </w:trPr>
        <w:tc>
          <w:tcPr>
            <w:tcW w:w="2693" w:type="dxa"/>
          </w:tcPr>
          <w:p>
            <w:pPr>
              <w:pStyle w:val="TableParagraph"/>
              <w:spacing w:line="242" w:lineRule="auto"/>
              <w:rPr>
                <w:b/>
                <w:sz w:val="24"/>
              </w:rPr>
            </w:pPr>
            <w:r>
              <w:rPr>
                <w:b/>
                <w:sz w:val="24"/>
                <w:u w:val="thick"/>
              </w:rPr>
              <w:t>Excise Tariff Item/</w:t>
            </w:r>
            <w:r>
              <w:rPr>
                <w:b/>
                <w:sz w:val="24"/>
              </w:rPr>
              <w:t> </w:t>
            </w:r>
            <w:r>
              <w:rPr>
                <w:b/>
                <w:sz w:val="24"/>
                <w:u w:val="thick"/>
              </w:rPr>
              <w:t>Subitem</w:t>
            </w:r>
          </w:p>
        </w:tc>
        <w:tc>
          <w:tcPr>
            <w:tcW w:w="6663" w:type="dxa"/>
          </w:tcPr>
          <w:p>
            <w:pPr>
              <w:pStyle w:val="TableParagraph"/>
              <w:spacing w:line="273" w:lineRule="exact"/>
              <w:rPr>
                <w:b/>
                <w:sz w:val="24"/>
              </w:rPr>
            </w:pPr>
            <w:r>
              <w:rPr>
                <w:b/>
                <w:sz w:val="24"/>
                <w:u w:val="thick"/>
              </w:rPr>
              <w:t>New Rates of Excise Duty Operative from 1 February 2017</w:t>
            </w:r>
          </w:p>
        </w:tc>
      </w:tr>
      <w:tr>
        <w:trPr>
          <w:trHeight w:val="426" w:hRule="atLeast"/>
        </w:trPr>
        <w:tc>
          <w:tcPr>
            <w:tcW w:w="2693" w:type="dxa"/>
          </w:tcPr>
          <w:p>
            <w:pPr>
              <w:pStyle w:val="TableParagraph"/>
              <w:spacing w:before="25"/>
              <w:rPr>
                <w:b/>
                <w:sz w:val="24"/>
              </w:rPr>
            </w:pPr>
            <w:r>
              <w:rPr>
                <w:b/>
                <w:sz w:val="24"/>
              </w:rPr>
              <w:t>1</w:t>
            </w:r>
          </w:p>
        </w:tc>
        <w:tc>
          <w:tcPr>
            <w:tcW w:w="6663" w:type="dxa"/>
          </w:tcPr>
          <w:p>
            <w:pPr>
              <w:pStyle w:val="TableParagraph"/>
              <w:spacing w:before="25"/>
              <w:rPr>
                <w:b/>
                <w:sz w:val="24"/>
              </w:rPr>
            </w:pPr>
            <w:r>
              <w:rPr>
                <w:b/>
                <w:sz w:val="24"/>
              </w:rPr>
              <w:t>Beer</w:t>
            </w:r>
          </w:p>
        </w:tc>
      </w:tr>
      <w:tr>
        <w:trPr>
          <w:trHeight w:val="973" w:hRule="atLeast"/>
        </w:trPr>
        <w:tc>
          <w:tcPr>
            <w:tcW w:w="2693" w:type="dxa"/>
          </w:tcPr>
          <w:p>
            <w:pPr>
              <w:pStyle w:val="TableParagraph"/>
              <w:spacing w:line="268" w:lineRule="exact"/>
              <w:ind w:left="0" w:right="89"/>
              <w:jc w:val="right"/>
              <w:rPr>
                <w:sz w:val="24"/>
              </w:rPr>
            </w:pPr>
            <w:r>
              <w:rPr>
                <w:sz w:val="24"/>
              </w:rPr>
              <w:t>1.1</w:t>
            </w:r>
          </w:p>
        </w:tc>
        <w:tc>
          <w:tcPr>
            <w:tcW w:w="6663" w:type="dxa"/>
          </w:tcPr>
          <w:p>
            <w:pPr>
              <w:pStyle w:val="TableParagraph"/>
              <w:spacing w:before="20"/>
              <w:ind w:right="332"/>
              <w:jc w:val="both"/>
              <w:rPr>
                <w:sz w:val="24"/>
              </w:rPr>
            </w:pPr>
            <w:r>
              <w:rPr>
                <w:sz w:val="24"/>
              </w:rPr>
              <w:t>$41.70 per litre of alcohol, calculated on that alcohol content by which the percentage by volume of alcohol </w:t>
            </w:r>
            <w:r>
              <w:rPr>
                <w:spacing w:val="4"/>
                <w:sz w:val="24"/>
              </w:rPr>
              <w:t>of </w:t>
            </w:r>
            <w:r>
              <w:rPr>
                <w:sz w:val="24"/>
              </w:rPr>
              <w:t>the goods</w:t>
            </w:r>
            <w:r>
              <w:rPr>
                <w:spacing w:val="-33"/>
                <w:sz w:val="24"/>
              </w:rPr>
              <w:t> </w:t>
            </w:r>
            <w:r>
              <w:rPr>
                <w:sz w:val="24"/>
              </w:rPr>
              <w:t>exceeds 1.15</w:t>
            </w:r>
          </w:p>
        </w:tc>
      </w:tr>
      <w:tr>
        <w:trPr>
          <w:trHeight w:val="978" w:hRule="atLeast"/>
        </w:trPr>
        <w:tc>
          <w:tcPr>
            <w:tcW w:w="2693" w:type="dxa"/>
          </w:tcPr>
          <w:p>
            <w:pPr>
              <w:pStyle w:val="TableParagraph"/>
              <w:spacing w:line="268" w:lineRule="exact"/>
              <w:ind w:left="0" w:right="89"/>
              <w:jc w:val="right"/>
              <w:rPr>
                <w:sz w:val="24"/>
              </w:rPr>
            </w:pPr>
            <w:r>
              <w:rPr>
                <w:sz w:val="24"/>
              </w:rPr>
              <w:t>1.2</w:t>
            </w:r>
          </w:p>
        </w:tc>
        <w:tc>
          <w:tcPr>
            <w:tcW w:w="6663" w:type="dxa"/>
          </w:tcPr>
          <w:p>
            <w:pPr>
              <w:pStyle w:val="TableParagraph"/>
              <w:spacing w:line="242" w:lineRule="auto" w:before="20"/>
              <w:rPr>
                <w:sz w:val="24"/>
              </w:rPr>
            </w:pPr>
            <w:r>
              <w:rPr>
                <w:sz w:val="24"/>
              </w:rPr>
              <w:t>$8.34 per litre of alcohol, calculated on that alcohol content by which the percentage by volume of alcohol of the goods exceeds 1.15</w:t>
            </w:r>
          </w:p>
        </w:tc>
      </w:tr>
      <w:tr>
        <w:trPr>
          <w:trHeight w:val="978" w:hRule="atLeast"/>
        </w:trPr>
        <w:tc>
          <w:tcPr>
            <w:tcW w:w="2693" w:type="dxa"/>
          </w:tcPr>
          <w:p>
            <w:pPr>
              <w:pStyle w:val="TableParagraph"/>
              <w:spacing w:line="268" w:lineRule="exact"/>
              <w:ind w:left="0" w:right="89"/>
              <w:jc w:val="right"/>
              <w:rPr>
                <w:sz w:val="24"/>
              </w:rPr>
            </w:pPr>
            <w:r>
              <w:rPr>
                <w:sz w:val="24"/>
              </w:rPr>
              <w:t>1.5</w:t>
            </w:r>
          </w:p>
        </w:tc>
        <w:tc>
          <w:tcPr>
            <w:tcW w:w="6663" w:type="dxa"/>
          </w:tcPr>
          <w:p>
            <w:pPr>
              <w:pStyle w:val="TableParagraph"/>
              <w:spacing w:line="242" w:lineRule="auto" w:before="20"/>
              <w:ind w:right="332"/>
              <w:jc w:val="both"/>
              <w:rPr>
                <w:sz w:val="24"/>
              </w:rPr>
            </w:pPr>
            <w:r>
              <w:rPr>
                <w:sz w:val="24"/>
              </w:rPr>
              <w:t>$48.57 per litre of alcohol, calculated on that alcohol content by which the percentage by volume of alcohol </w:t>
            </w:r>
            <w:r>
              <w:rPr>
                <w:spacing w:val="4"/>
                <w:sz w:val="24"/>
              </w:rPr>
              <w:t>of </w:t>
            </w:r>
            <w:r>
              <w:rPr>
                <w:sz w:val="24"/>
              </w:rPr>
              <w:t>the goods</w:t>
            </w:r>
            <w:r>
              <w:rPr>
                <w:spacing w:val="-33"/>
                <w:sz w:val="24"/>
              </w:rPr>
              <w:t> </w:t>
            </w:r>
            <w:r>
              <w:rPr>
                <w:sz w:val="24"/>
              </w:rPr>
              <w:t>exceeds 1.15</w:t>
            </w:r>
          </w:p>
        </w:tc>
      </w:tr>
      <w:tr>
        <w:trPr>
          <w:trHeight w:val="978" w:hRule="atLeast"/>
        </w:trPr>
        <w:tc>
          <w:tcPr>
            <w:tcW w:w="2693" w:type="dxa"/>
          </w:tcPr>
          <w:p>
            <w:pPr>
              <w:pStyle w:val="TableParagraph"/>
              <w:spacing w:line="268" w:lineRule="exact"/>
              <w:ind w:left="0" w:right="89"/>
              <w:jc w:val="right"/>
              <w:rPr>
                <w:sz w:val="24"/>
              </w:rPr>
            </w:pPr>
            <w:r>
              <w:rPr>
                <w:sz w:val="24"/>
              </w:rPr>
              <w:t>1.6</w:t>
            </w:r>
          </w:p>
        </w:tc>
        <w:tc>
          <w:tcPr>
            <w:tcW w:w="6663" w:type="dxa"/>
          </w:tcPr>
          <w:p>
            <w:pPr>
              <w:pStyle w:val="TableParagraph"/>
              <w:spacing w:before="20"/>
              <w:ind w:right="332"/>
              <w:jc w:val="both"/>
              <w:rPr>
                <w:sz w:val="24"/>
              </w:rPr>
            </w:pPr>
            <w:r>
              <w:rPr>
                <w:sz w:val="24"/>
              </w:rPr>
              <w:t>$26.12 per litre of alcohol, calculated on that alcohol content by which the percentage by volume of alcohol </w:t>
            </w:r>
            <w:r>
              <w:rPr>
                <w:spacing w:val="4"/>
                <w:sz w:val="24"/>
              </w:rPr>
              <w:t>of </w:t>
            </w:r>
            <w:r>
              <w:rPr>
                <w:sz w:val="24"/>
              </w:rPr>
              <w:t>the goods</w:t>
            </w:r>
            <w:r>
              <w:rPr>
                <w:spacing w:val="-33"/>
                <w:sz w:val="24"/>
              </w:rPr>
              <w:t> </w:t>
            </w:r>
            <w:r>
              <w:rPr>
                <w:sz w:val="24"/>
              </w:rPr>
              <w:t>exceeds 1.15</w:t>
            </w:r>
          </w:p>
        </w:tc>
      </w:tr>
      <w:tr>
        <w:trPr>
          <w:trHeight w:val="978" w:hRule="atLeast"/>
        </w:trPr>
        <w:tc>
          <w:tcPr>
            <w:tcW w:w="2693" w:type="dxa"/>
          </w:tcPr>
          <w:p>
            <w:pPr>
              <w:pStyle w:val="TableParagraph"/>
              <w:spacing w:line="268" w:lineRule="exact"/>
              <w:ind w:left="0" w:right="89"/>
              <w:jc w:val="right"/>
              <w:rPr>
                <w:sz w:val="24"/>
              </w:rPr>
            </w:pPr>
            <w:r>
              <w:rPr>
                <w:sz w:val="24"/>
              </w:rPr>
              <w:t>1.10</w:t>
            </w:r>
          </w:p>
        </w:tc>
        <w:tc>
          <w:tcPr>
            <w:tcW w:w="6663" w:type="dxa"/>
          </w:tcPr>
          <w:p>
            <w:pPr>
              <w:pStyle w:val="TableParagraph"/>
              <w:spacing w:before="20"/>
              <w:ind w:right="332"/>
              <w:jc w:val="both"/>
              <w:rPr>
                <w:sz w:val="24"/>
              </w:rPr>
            </w:pPr>
            <w:r>
              <w:rPr>
                <w:sz w:val="24"/>
              </w:rPr>
              <w:t>$48.57 per litre of alcohol, calculated on that alcohol content by which the percentage by volume of alcohol </w:t>
            </w:r>
            <w:r>
              <w:rPr>
                <w:spacing w:val="4"/>
                <w:sz w:val="24"/>
              </w:rPr>
              <w:t>of </w:t>
            </w:r>
            <w:r>
              <w:rPr>
                <w:sz w:val="24"/>
              </w:rPr>
              <w:t>the goods</w:t>
            </w:r>
            <w:r>
              <w:rPr>
                <w:spacing w:val="-33"/>
                <w:sz w:val="24"/>
              </w:rPr>
              <w:t> </w:t>
            </w:r>
            <w:r>
              <w:rPr>
                <w:sz w:val="24"/>
              </w:rPr>
              <w:t>exceeds 1.15</w:t>
            </w:r>
          </w:p>
        </w:tc>
      </w:tr>
      <w:tr>
        <w:trPr>
          <w:trHeight w:val="973" w:hRule="atLeast"/>
        </w:trPr>
        <w:tc>
          <w:tcPr>
            <w:tcW w:w="2693" w:type="dxa"/>
          </w:tcPr>
          <w:p>
            <w:pPr>
              <w:pStyle w:val="TableParagraph"/>
              <w:spacing w:line="268" w:lineRule="exact"/>
              <w:ind w:left="0" w:right="89"/>
              <w:jc w:val="right"/>
              <w:rPr>
                <w:sz w:val="24"/>
              </w:rPr>
            </w:pPr>
            <w:r>
              <w:rPr>
                <w:sz w:val="24"/>
              </w:rPr>
              <w:t>1.11</w:t>
            </w:r>
          </w:p>
        </w:tc>
        <w:tc>
          <w:tcPr>
            <w:tcW w:w="6663" w:type="dxa"/>
          </w:tcPr>
          <w:p>
            <w:pPr>
              <w:pStyle w:val="TableParagraph"/>
              <w:spacing w:before="20"/>
              <w:ind w:right="332"/>
              <w:jc w:val="both"/>
              <w:rPr>
                <w:sz w:val="24"/>
              </w:rPr>
            </w:pPr>
            <w:r>
              <w:rPr>
                <w:sz w:val="24"/>
              </w:rPr>
              <w:t>$34.21 per litre of alcohol, calculated on that alcohol content by which the percentage by volume of alcohol </w:t>
            </w:r>
            <w:r>
              <w:rPr>
                <w:spacing w:val="4"/>
                <w:sz w:val="24"/>
              </w:rPr>
              <w:t>of </w:t>
            </w:r>
            <w:r>
              <w:rPr>
                <w:sz w:val="24"/>
              </w:rPr>
              <w:t>the goods</w:t>
            </w:r>
            <w:r>
              <w:rPr>
                <w:spacing w:val="-33"/>
                <w:sz w:val="24"/>
              </w:rPr>
              <w:t> </w:t>
            </w:r>
            <w:r>
              <w:rPr>
                <w:sz w:val="24"/>
              </w:rPr>
              <w:t>exceeds 1.15</w:t>
            </w:r>
          </w:p>
        </w:tc>
      </w:tr>
      <w:tr>
        <w:trPr>
          <w:trHeight w:val="978" w:hRule="atLeast"/>
        </w:trPr>
        <w:tc>
          <w:tcPr>
            <w:tcW w:w="2693" w:type="dxa"/>
          </w:tcPr>
          <w:p>
            <w:pPr>
              <w:pStyle w:val="TableParagraph"/>
              <w:spacing w:line="273" w:lineRule="exact"/>
              <w:ind w:left="0" w:right="89"/>
              <w:jc w:val="right"/>
              <w:rPr>
                <w:sz w:val="24"/>
              </w:rPr>
            </w:pPr>
            <w:r>
              <w:rPr>
                <w:sz w:val="24"/>
              </w:rPr>
              <w:t>1.15</w:t>
            </w:r>
          </w:p>
        </w:tc>
        <w:tc>
          <w:tcPr>
            <w:tcW w:w="6663" w:type="dxa"/>
          </w:tcPr>
          <w:p>
            <w:pPr>
              <w:pStyle w:val="TableParagraph"/>
              <w:spacing w:before="25"/>
              <w:rPr>
                <w:sz w:val="24"/>
              </w:rPr>
            </w:pPr>
            <w:r>
              <w:rPr>
                <w:sz w:val="24"/>
              </w:rPr>
              <w:t>$2.93 per litre of alcohol, calculated on that alcohol content by which the percentage by volume of alcohol of the goods exceeds 1.15</w:t>
            </w:r>
          </w:p>
        </w:tc>
      </w:tr>
      <w:tr>
        <w:trPr>
          <w:trHeight w:val="978" w:hRule="atLeast"/>
        </w:trPr>
        <w:tc>
          <w:tcPr>
            <w:tcW w:w="2693" w:type="dxa"/>
          </w:tcPr>
          <w:p>
            <w:pPr>
              <w:pStyle w:val="TableParagraph"/>
              <w:spacing w:line="268" w:lineRule="exact"/>
              <w:ind w:left="0" w:right="89"/>
              <w:jc w:val="right"/>
              <w:rPr>
                <w:sz w:val="24"/>
              </w:rPr>
            </w:pPr>
            <w:r>
              <w:rPr>
                <w:sz w:val="24"/>
              </w:rPr>
              <w:t>1.16</w:t>
            </w:r>
          </w:p>
        </w:tc>
        <w:tc>
          <w:tcPr>
            <w:tcW w:w="6663" w:type="dxa"/>
          </w:tcPr>
          <w:p>
            <w:pPr>
              <w:pStyle w:val="TableParagraph"/>
              <w:spacing w:line="242" w:lineRule="auto" w:before="20"/>
              <w:rPr>
                <w:sz w:val="24"/>
              </w:rPr>
            </w:pPr>
            <w:r>
              <w:rPr>
                <w:sz w:val="24"/>
              </w:rPr>
              <w:t>$3.39 per litre of alcohol, calculated on that alcohol content by which the percentage by volume of alcohol of the goods exceeds 1.15</w:t>
            </w:r>
          </w:p>
        </w:tc>
      </w:tr>
      <w:tr>
        <w:trPr>
          <w:trHeight w:val="700" w:hRule="atLeast"/>
        </w:trPr>
        <w:tc>
          <w:tcPr>
            <w:tcW w:w="2693" w:type="dxa"/>
          </w:tcPr>
          <w:p>
            <w:pPr>
              <w:pStyle w:val="TableParagraph"/>
              <w:spacing w:before="25"/>
              <w:rPr>
                <w:b/>
                <w:sz w:val="24"/>
              </w:rPr>
            </w:pPr>
            <w:r>
              <w:rPr>
                <w:b/>
                <w:sz w:val="24"/>
              </w:rPr>
              <w:t>2</w:t>
            </w:r>
          </w:p>
        </w:tc>
        <w:tc>
          <w:tcPr>
            <w:tcW w:w="6663" w:type="dxa"/>
          </w:tcPr>
          <w:p>
            <w:pPr>
              <w:pStyle w:val="TableParagraph"/>
              <w:spacing w:line="242" w:lineRule="auto" w:before="25"/>
              <w:ind w:right="697"/>
              <w:rPr>
                <w:rFonts w:ascii="TimesNewRomanPS-BoldItalicMT"/>
                <w:b/>
                <w:i/>
                <w:sz w:val="24"/>
              </w:rPr>
            </w:pPr>
            <w:r>
              <w:rPr>
                <w:rFonts w:ascii="TimesNewRomanPS-BoldItalicMT"/>
                <w:b/>
                <w:i/>
                <w:sz w:val="24"/>
              </w:rPr>
              <w:t>Other excisable beverages not exceeding 10% by volume of alcohol</w:t>
            </w:r>
          </w:p>
        </w:tc>
      </w:tr>
      <w:tr>
        <w:trPr>
          <w:trHeight w:val="426" w:hRule="atLeast"/>
        </w:trPr>
        <w:tc>
          <w:tcPr>
            <w:tcW w:w="2693" w:type="dxa"/>
          </w:tcPr>
          <w:p>
            <w:pPr>
              <w:pStyle w:val="TableParagraph"/>
              <w:spacing w:line="273" w:lineRule="exact"/>
              <w:ind w:left="0" w:right="95"/>
              <w:jc w:val="right"/>
              <w:rPr>
                <w:sz w:val="24"/>
              </w:rPr>
            </w:pPr>
            <w:r>
              <w:rPr>
                <w:sz w:val="24"/>
              </w:rPr>
              <w:t>2</w:t>
            </w:r>
          </w:p>
        </w:tc>
        <w:tc>
          <w:tcPr>
            <w:tcW w:w="6663" w:type="dxa"/>
          </w:tcPr>
          <w:p>
            <w:pPr>
              <w:pStyle w:val="TableParagraph"/>
              <w:spacing w:before="25"/>
              <w:rPr>
                <w:sz w:val="24"/>
              </w:rPr>
            </w:pPr>
            <w:r>
              <w:rPr>
                <w:sz w:val="24"/>
              </w:rPr>
              <w:t>$82.27 per litre of alcohol</w:t>
            </w:r>
          </w:p>
        </w:tc>
      </w:tr>
      <w:tr>
        <w:trPr>
          <w:trHeight w:val="705" w:hRule="atLeast"/>
        </w:trPr>
        <w:tc>
          <w:tcPr>
            <w:tcW w:w="2693" w:type="dxa"/>
          </w:tcPr>
          <w:p>
            <w:pPr>
              <w:pStyle w:val="TableParagraph"/>
              <w:spacing w:before="25"/>
              <w:rPr>
                <w:b/>
                <w:sz w:val="24"/>
              </w:rPr>
            </w:pPr>
            <w:r>
              <w:rPr>
                <w:b/>
                <w:sz w:val="24"/>
              </w:rPr>
              <w:t>3</w:t>
            </w:r>
          </w:p>
        </w:tc>
        <w:tc>
          <w:tcPr>
            <w:tcW w:w="6663" w:type="dxa"/>
          </w:tcPr>
          <w:p>
            <w:pPr>
              <w:pStyle w:val="TableParagraph"/>
              <w:spacing w:line="242" w:lineRule="auto" w:before="25"/>
              <w:ind w:right="297"/>
              <w:rPr>
                <w:rFonts w:ascii="TimesNewRomanPS-BoldItalicMT"/>
                <w:b/>
                <w:i/>
                <w:sz w:val="24"/>
              </w:rPr>
            </w:pPr>
            <w:r>
              <w:rPr>
                <w:rFonts w:ascii="TimesNewRomanPS-BoldItalicMT"/>
                <w:b/>
                <w:i/>
                <w:sz w:val="24"/>
              </w:rPr>
              <w:t>Spirits; Other excisable beverages exceeding 10% by volume of alcohol</w:t>
            </w:r>
          </w:p>
        </w:tc>
      </w:tr>
      <w:tr>
        <w:trPr>
          <w:trHeight w:val="421" w:hRule="atLeast"/>
        </w:trPr>
        <w:tc>
          <w:tcPr>
            <w:tcW w:w="2693" w:type="dxa"/>
          </w:tcPr>
          <w:p>
            <w:pPr>
              <w:pStyle w:val="TableParagraph"/>
              <w:spacing w:line="268" w:lineRule="exact"/>
              <w:ind w:left="0" w:right="89"/>
              <w:jc w:val="right"/>
              <w:rPr>
                <w:sz w:val="24"/>
              </w:rPr>
            </w:pPr>
            <w:r>
              <w:rPr>
                <w:sz w:val="24"/>
              </w:rPr>
              <w:t>3.1</w:t>
            </w:r>
          </w:p>
        </w:tc>
        <w:tc>
          <w:tcPr>
            <w:tcW w:w="6663" w:type="dxa"/>
          </w:tcPr>
          <w:p>
            <w:pPr>
              <w:pStyle w:val="TableParagraph"/>
              <w:spacing w:before="20"/>
              <w:rPr>
                <w:sz w:val="24"/>
              </w:rPr>
            </w:pPr>
            <w:r>
              <w:rPr>
                <w:sz w:val="24"/>
              </w:rPr>
              <w:t>$76.84 per litre of alcohol</w:t>
            </w:r>
          </w:p>
        </w:tc>
      </w:tr>
      <w:tr>
        <w:trPr>
          <w:trHeight w:val="426" w:hRule="atLeast"/>
        </w:trPr>
        <w:tc>
          <w:tcPr>
            <w:tcW w:w="2693" w:type="dxa"/>
          </w:tcPr>
          <w:p>
            <w:pPr>
              <w:pStyle w:val="TableParagraph"/>
              <w:spacing w:line="273" w:lineRule="exact"/>
              <w:ind w:left="0" w:right="89"/>
              <w:jc w:val="right"/>
              <w:rPr>
                <w:sz w:val="24"/>
              </w:rPr>
            </w:pPr>
            <w:r>
              <w:rPr>
                <w:sz w:val="24"/>
              </w:rPr>
              <w:t>3.2</w:t>
            </w:r>
          </w:p>
        </w:tc>
        <w:tc>
          <w:tcPr>
            <w:tcW w:w="6663" w:type="dxa"/>
          </w:tcPr>
          <w:p>
            <w:pPr>
              <w:pStyle w:val="TableParagraph"/>
              <w:spacing w:before="25"/>
              <w:rPr>
                <w:sz w:val="24"/>
              </w:rPr>
            </w:pPr>
            <w:r>
              <w:rPr>
                <w:sz w:val="24"/>
              </w:rPr>
              <w:t>$82.27 per litre of alcohol</w:t>
            </w:r>
          </w:p>
        </w:tc>
      </w:tr>
      <w:tr>
        <w:trPr>
          <w:trHeight w:val="426" w:hRule="atLeast"/>
        </w:trPr>
        <w:tc>
          <w:tcPr>
            <w:tcW w:w="2693" w:type="dxa"/>
          </w:tcPr>
          <w:p>
            <w:pPr>
              <w:pStyle w:val="TableParagraph"/>
              <w:spacing w:line="268" w:lineRule="exact"/>
              <w:ind w:left="0" w:right="89"/>
              <w:jc w:val="right"/>
              <w:rPr>
                <w:sz w:val="24"/>
              </w:rPr>
            </w:pPr>
            <w:r>
              <w:rPr>
                <w:sz w:val="24"/>
              </w:rPr>
              <w:t>3.10</w:t>
            </w:r>
          </w:p>
        </w:tc>
        <w:tc>
          <w:tcPr>
            <w:tcW w:w="6663" w:type="dxa"/>
          </w:tcPr>
          <w:p>
            <w:pPr>
              <w:pStyle w:val="TableParagraph"/>
              <w:spacing w:before="20"/>
              <w:rPr>
                <w:sz w:val="24"/>
              </w:rPr>
            </w:pPr>
            <w:r>
              <w:rPr>
                <w:sz w:val="24"/>
              </w:rPr>
              <w:t>$82.27 per litre of alcohol</w:t>
            </w:r>
          </w:p>
        </w:tc>
      </w:tr>
    </w:tbl>
    <w:p>
      <w:pPr>
        <w:spacing w:after="0"/>
        <w:rPr>
          <w:sz w:val="24"/>
        </w:rPr>
        <w:sectPr>
          <w:pgSz w:w="11910" w:h="16840"/>
          <w:pgMar w:header="708" w:footer="0" w:top="920" w:bottom="280" w:left="0" w:right="0"/>
        </w:sectPr>
      </w:pPr>
    </w:p>
    <w:tbl>
      <w:tblPr>
        <w:tblW w:w="0" w:type="auto"/>
        <w:jc w:val="left"/>
        <w:tblInd w:w="1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3"/>
        <w:gridCol w:w="6663"/>
      </w:tblGrid>
      <w:tr>
        <w:trPr>
          <w:trHeight w:val="426" w:hRule="atLeast"/>
        </w:trPr>
        <w:tc>
          <w:tcPr>
            <w:tcW w:w="2693" w:type="dxa"/>
          </w:tcPr>
          <w:p>
            <w:pPr>
              <w:pStyle w:val="TableParagraph"/>
              <w:spacing w:before="25"/>
              <w:rPr>
                <w:b/>
                <w:sz w:val="24"/>
              </w:rPr>
            </w:pPr>
            <w:r>
              <w:rPr>
                <w:b/>
                <w:sz w:val="24"/>
              </w:rPr>
              <w:t>10</w:t>
            </w:r>
          </w:p>
        </w:tc>
        <w:tc>
          <w:tcPr>
            <w:tcW w:w="6663" w:type="dxa"/>
          </w:tcPr>
          <w:p>
            <w:pPr>
              <w:pStyle w:val="TableParagraph"/>
              <w:ind w:left="0"/>
              <w:rPr>
                <w:sz w:val="24"/>
              </w:rPr>
            </w:pPr>
          </w:p>
        </w:tc>
      </w:tr>
      <w:tr>
        <w:trPr>
          <w:trHeight w:val="426" w:hRule="atLeast"/>
        </w:trPr>
        <w:tc>
          <w:tcPr>
            <w:tcW w:w="2693" w:type="dxa"/>
          </w:tcPr>
          <w:p>
            <w:pPr>
              <w:pStyle w:val="TableParagraph"/>
              <w:spacing w:line="268" w:lineRule="exact"/>
              <w:ind w:left="0" w:right="89"/>
              <w:jc w:val="right"/>
              <w:rPr>
                <w:sz w:val="24"/>
              </w:rPr>
            </w:pPr>
            <w:r>
              <w:rPr>
                <w:sz w:val="24"/>
              </w:rPr>
              <w:t>10.1</w:t>
            </w:r>
          </w:p>
        </w:tc>
        <w:tc>
          <w:tcPr>
            <w:tcW w:w="6663" w:type="dxa"/>
          </w:tcPr>
          <w:p>
            <w:pPr>
              <w:pStyle w:val="TableParagraph"/>
              <w:spacing w:before="20"/>
              <w:rPr>
                <w:sz w:val="24"/>
              </w:rPr>
            </w:pPr>
            <w:r>
              <w:rPr>
                <w:sz w:val="24"/>
              </w:rPr>
              <w:t>$0.401 per litre of petroleum condensate</w:t>
            </w:r>
          </w:p>
        </w:tc>
      </w:tr>
      <w:tr>
        <w:trPr>
          <w:trHeight w:val="426" w:hRule="atLeast"/>
        </w:trPr>
        <w:tc>
          <w:tcPr>
            <w:tcW w:w="2693" w:type="dxa"/>
          </w:tcPr>
          <w:p>
            <w:pPr>
              <w:pStyle w:val="TableParagraph"/>
              <w:spacing w:line="268" w:lineRule="exact"/>
              <w:ind w:left="0" w:right="89"/>
              <w:jc w:val="right"/>
              <w:rPr>
                <w:sz w:val="24"/>
              </w:rPr>
            </w:pPr>
            <w:r>
              <w:rPr>
                <w:sz w:val="24"/>
              </w:rPr>
              <w:t>10.2</w:t>
            </w:r>
          </w:p>
        </w:tc>
        <w:tc>
          <w:tcPr>
            <w:tcW w:w="6663" w:type="dxa"/>
          </w:tcPr>
          <w:p>
            <w:pPr>
              <w:pStyle w:val="TableParagraph"/>
              <w:spacing w:before="20"/>
              <w:rPr>
                <w:sz w:val="24"/>
              </w:rPr>
            </w:pPr>
            <w:r>
              <w:rPr>
                <w:sz w:val="24"/>
              </w:rPr>
              <w:t>$0.401 per litre of stabilised crude petroleum</w:t>
            </w:r>
          </w:p>
        </w:tc>
      </w:tr>
      <w:tr>
        <w:trPr>
          <w:trHeight w:val="426" w:hRule="atLeast"/>
        </w:trPr>
        <w:tc>
          <w:tcPr>
            <w:tcW w:w="2693" w:type="dxa"/>
          </w:tcPr>
          <w:p>
            <w:pPr>
              <w:pStyle w:val="TableParagraph"/>
              <w:spacing w:line="268" w:lineRule="exact"/>
              <w:ind w:left="0" w:right="89"/>
              <w:jc w:val="right"/>
              <w:rPr>
                <w:sz w:val="24"/>
              </w:rPr>
            </w:pPr>
            <w:r>
              <w:rPr>
                <w:sz w:val="24"/>
              </w:rPr>
              <w:t>10.3</w:t>
            </w:r>
          </w:p>
        </w:tc>
        <w:tc>
          <w:tcPr>
            <w:tcW w:w="6663" w:type="dxa"/>
          </w:tcPr>
          <w:p>
            <w:pPr>
              <w:pStyle w:val="TableParagraph"/>
              <w:spacing w:before="20"/>
              <w:rPr>
                <w:sz w:val="24"/>
              </w:rPr>
            </w:pPr>
            <w:r>
              <w:rPr>
                <w:sz w:val="24"/>
              </w:rPr>
              <w:t>$0.401 per litre of crude petroleum oil</w:t>
            </w:r>
          </w:p>
        </w:tc>
      </w:tr>
      <w:tr>
        <w:trPr>
          <w:trHeight w:val="422" w:hRule="atLeast"/>
        </w:trPr>
        <w:tc>
          <w:tcPr>
            <w:tcW w:w="2693" w:type="dxa"/>
          </w:tcPr>
          <w:p>
            <w:pPr>
              <w:pStyle w:val="TableParagraph"/>
              <w:spacing w:line="268" w:lineRule="exact"/>
              <w:ind w:left="0" w:right="89"/>
              <w:jc w:val="right"/>
              <w:rPr>
                <w:sz w:val="24"/>
              </w:rPr>
            </w:pPr>
            <w:r>
              <w:rPr>
                <w:sz w:val="24"/>
              </w:rPr>
              <w:t>10.5</w:t>
            </w:r>
          </w:p>
        </w:tc>
        <w:tc>
          <w:tcPr>
            <w:tcW w:w="6663" w:type="dxa"/>
          </w:tcPr>
          <w:p>
            <w:pPr>
              <w:pStyle w:val="TableParagraph"/>
              <w:spacing w:before="20"/>
              <w:rPr>
                <w:sz w:val="24"/>
              </w:rPr>
            </w:pPr>
            <w:r>
              <w:rPr>
                <w:sz w:val="24"/>
              </w:rPr>
              <w:t>$0.401 per litre of gasoline (other than for use as fuel in aircraft)</w:t>
            </w:r>
          </w:p>
        </w:tc>
      </w:tr>
      <w:tr>
        <w:trPr>
          <w:trHeight w:val="705" w:hRule="atLeast"/>
        </w:trPr>
        <w:tc>
          <w:tcPr>
            <w:tcW w:w="2693" w:type="dxa"/>
          </w:tcPr>
          <w:p>
            <w:pPr>
              <w:pStyle w:val="TableParagraph"/>
              <w:spacing w:line="268" w:lineRule="exact"/>
              <w:ind w:left="0" w:right="89"/>
              <w:jc w:val="right"/>
              <w:rPr>
                <w:sz w:val="24"/>
              </w:rPr>
            </w:pPr>
            <w:r>
              <w:rPr>
                <w:sz w:val="24"/>
              </w:rPr>
              <w:t>10.7</w:t>
            </w:r>
          </w:p>
        </w:tc>
        <w:tc>
          <w:tcPr>
            <w:tcW w:w="6663" w:type="dxa"/>
          </w:tcPr>
          <w:p>
            <w:pPr>
              <w:pStyle w:val="TableParagraph"/>
              <w:spacing w:before="20"/>
              <w:rPr>
                <w:sz w:val="24"/>
              </w:rPr>
            </w:pPr>
            <w:r>
              <w:rPr>
                <w:sz w:val="24"/>
              </w:rPr>
              <w:t>The amount of duty worked out under section 6G (using</w:t>
            </w:r>
          </w:p>
          <w:p>
            <w:pPr>
              <w:pStyle w:val="TableParagraph"/>
              <w:spacing w:before="3"/>
              <w:ind w:left="109"/>
              <w:rPr>
                <w:sz w:val="24"/>
              </w:rPr>
            </w:pPr>
            <w:r>
              <w:rPr>
                <w:sz w:val="24"/>
              </w:rPr>
              <w:t>$0.401 per litre at step 3 at 6G)</w:t>
            </w:r>
          </w:p>
        </w:tc>
      </w:tr>
      <w:tr>
        <w:trPr>
          <w:trHeight w:val="422" w:hRule="atLeast"/>
        </w:trPr>
        <w:tc>
          <w:tcPr>
            <w:tcW w:w="2693" w:type="dxa"/>
          </w:tcPr>
          <w:p>
            <w:pPr>
              <w:pStyle w:val="TableParagraph"/>
              <w:spacing w:line="268" w:lineRule="exact"/>
              <w:ind w:left="0" w:right="89"/>
              <w:jc w:val="right"/>
              <w:rPr>
                <w:sz w:val="24"/>
              </w:rPr>
            </w:pPr>
            <w:r>
              <w:rPr>
                <w:sz w:val="24"/>
              </w:rPr>
              <w:t>10.10</w:t>
            </w:r>
          </w:p>
        </w:tc>
        <w:tc>
          <w:tcPr>
            <w:tcW w:w="6663" w:type="dxa"/>
          </w:tcPr>
          <w:p>
            <w:pPr>
              <w:pStyle w:val="TableParagraph"/>
              <w:spacing w:before="20"/>
              <w:rPr>
                <w:sz w:val="24"/>
              </w:rPr>
            </w:pPr>
            <w:r>
              <w:rPr>
                <w:sz w:val="24"/>
              </w:rPr>
              <w:t>$0.401 per litre of diesel</w:t>
            </w:r>
          </w:p>
        </w:tc>
      </w:tr>
      <w:tr>
        <w:trPr>
          <w:trHeight w:val="705" w:hRule="atLeast"/>
        </w:trPr>
        <w:tc>
          <w:tcPr>
            <w:tcW w:w="2693" w:type="dxa"/>
          </w:tcPr>
          <w:p>
            <w:pPr>
              <w:pStyle w:val="TableParagraph"/>
              <w:spacing w:line="273" w:lineRule="exact"/>
              <w:ind w:left="0" w:right="89"/>
              <w:jc w:val="right"/>
              <w:rPr>
                <w:sz w:val="24"/>
              </w:rPr>
            </w:pPr>
            <w:r>
              <w:rPr>
                <w:sz w:val="24"/>
              </w:rPr>
              <w:t>10.12</w:t>
            </w:r>
          </w:p>
        </w:tc>
        <w:tc>
          <w:tcPr>
            <w:tcW w:w="6663" w:type="dxa"/>
          </w:tcPr>
          <w:p>
            <w:pPr>
              <w:pStyle w:val="TableParagraph"/>
              <w:spacing w:line="275" w:lineRule="exact" w:before="25"/>
              <w:rPr>
                <w:sz w:val="24"/>
              </w:rPr>
            </w:pPr>
            <w:r>
              <w:rPr>
                <w:sz w:val="24"/>
              </w:rPr>
              <w:t>The amount of duty worked out under section 6G (using</w:t>
            </w:r>
          </w:p>
          <w:p>
            <w:pPr>
              <w:pStyle w:val="TableParagraph"/>
              <w:spacing w:line="275" w:lineRule="exact"/>
              <w:rPr>
                <w:sz w:val="24"/>
              </w:rPr>
            </w:pPr>
            <w:r>
              <w:rPr>
                <w:sz w:val="24"/>
              </w:rPr>
              <w:t>$0.401 per litre at step 3 at 6G)</w:t>
            </w:r>
          </w:p>
        </w:tc>
      </w:tr>
      <w:tr>
        <w:trPr>
          <w:trHeight w:val="426" w:hRule="atLeast"/>
        </w:trPr>
        <w:tc>
          <w:tcPr>
            <w:tcW w:w="2693" w:type="dxa"/>
          </w:tcPr>
          <w:p>
            <w:pPr>
              <w:pStyle w:val="TableParagraph"/>
              <w:spacing w:line="268" w:lineRule="exact"/>
              <w:ind w:left="0" w:right="89"/>
              <w:jc w:val="right"/>
              <w:rPr>
                <w:sz w:val="24"/>
              </w:rPr>
            </w:pPr>
            <w:r>
              <w:rPr>
                <w:sz w:val="24"/>
              </w:rPr>
              <w:t>10.15</w:t>
            </w:r>
          </w:p>
        </w:tc>
        <w:tc>
          <w:tcPr>
            <w:tcW w:w="6663" w:type="dxa"/>
          </w:tcPr>
          <w:p>
            <w:pPr>
              <w:pStyle w:val="TableParagraph"/>
              <w:spacing w:before="20"/>
              <w:rPr>
                <w:sz w:val="24"/>
              </w:rPr>
            </w:pPr>
            <w:r>
              <w:rPr>
                <w:sz w:val="24"/>
              </w:rPr>
              <w:t>$0.401 per litre of heating oil</w:t>
            </w:r>
          </w:p>
        </w:tc>
      </w:tr>
      <w:tr>
        <w:trPr>
          <w:trHeight w:val="422" w:hRule="atLeast"/>
        </w:trPr>
        <w:tc>
          <w:tcPr>
            <w:tcW w:w="2693" w:type="dxa"/>
          </w:tcPr>
          <w:p>
            <w:pPr>
              <w:pStyle w:val="TableParagraph"/>
              <w:spacing w:line="268" w:lineRule="exact"/>
              <w:ind w:left="0" w:right="89"/>
              <w:jc w:val="right"/>
              <w:rPr>
                <w:sz w:val="24"/>
              </w:rPr>
            </w:pPr>
            <w:r>
              <w:rPr>
                <w:sz w:val="24"/>
              </w:rPr>
              <w:t>10.16</w:t>
            </w:r>
          </w:p>
        </w:tc>
        <w:tc>
          <w:tcPr>
            <w:tcW w:w="6663" w:type="dxa"/>
          </w:tcPr>
          <w:p>
            <w:pPr>
              <w:pStyle w:val="TableParagraph"/>
              <w:spacing w:before="20"/>
              <w:rPr>
                <w:sz w:val="24"/>
              </w:rPr>
            </w:pPr>
            <w:r>
              <w:rPr>
                <w:sz w:val="24"/>
              </w:rPr>
              <w:t>$0.401 per litre of kerosene (other than for use as fuel in aircraft)</w:t>
            </w:r>
          </w:p>
        </w:tc>
      </w:tr>
      <w:tr>
        <w:trPr>
          <w:trHeight w:val="426" w:hRule="atLeast"/>
        </w:trPr>
        <w:tc>
          <w:tcPr>
            <w:tcW w:w="2693" w:type="dxa"/>
          </w:tcPr>
          <w:p>
            <w:pPr>
              <w:pStyle w:val="TableParagraph"/>
              <w:spacing w:line="273" w:lineRule="exact"/>
              <w:ind w:left="0" w:right="89"/>
              <w:jc w:val="right"/>
              <w:rPr>
                <w:sz w:val="24"/>
              </w:rPr>
            </w:pPr>
            <w:r>
              <w:rPr>
                <w:sz w:val="24"/>
              </w:rPr>
              <w:t>10.18</w:t>
            </w:r>
          </w:p>
        </w:tc>
        <w:tc>
          <w:tcPr>
            <w:tcW w:w="6663" w:type="dxa"/>
          </w:tcPr>
          <w:p>
            <w:pPr>
              <w:pStyle w:val="TableParagraph"/>
              <w:spacing w:before="25"/>
              <w:rPr>
                <w:sz w:val="24"/>
              </w:rPr>
            </w:pPr>
            <w:r>
              <w:rPr>
                <w:sz w:val="24"/>
              </w:rPr>
              <w:t>$0.401 per litre for fuel oil</w:t>
            </w:r>
          </w:p>
        </w:tc>
      </w:tr>
      <w:tr>
        <w:trPr>
          <w:trHeight w:val="978" w:hRule="atLeast"/>
        </w:trPr>
        <w:tc>
          <w:tcPr>
            <w:tcW w:w="2693" w:type="dxa"/>
          </w:tcPr>
          <w:p>
            <w:pPr>
              <w:pStyle w:val="TableParagraph"/>
              <w:spacing w:line="268" w:lineRule="exact"/>
              <w:ind w:left="0" w:right="93"/>
              <w:jc w:val="right"/>
              <w:rPr>
                <w:sz w:val="24"/>
              </w:rPr>
            </w:pPr>
            <w:r>
              <w:rPr>
                <w:sz w:val="24"/>
              </w:rPr>
              <w:t>10.19A</w:t>
            </w:r>
          </w:p>
        </w:tc>
        <w:tc>
          <w:tcPr>
            <w:tcW w:w="6663" w:type="dxa"/>
          </w:tcPr>
          <w:p>
            <w:pPr>
              <w:pStyle w:val="TableParagraph"/>
              <w:spacing w:line="242" w:lineRule="auto" w:before="20"/>
              <w:ind w:right="297"/>
              <w:rPr>
                <w:i/>
                <w:sz w:val="24"/>
              </w:rPr>
            </w:pPr>
            <w:r>
              <w:rPr>
                <w:sz w:val="24"/>
              </w:rPr>
              <w:t>$0.131 per litre of liquefied petroleum gas, other than liquefied petroleum gas exempted from excise by section 77HB of the </w:t>
            </w:r>
            <w:r>
              <w:rPr>
                <w:i/>
                <w:sz w:val="24"/>
              </w:rPr>
              <w:t>Excise Act 1901</w:t>
            </w:r>
          </w:p>
        </w:tc>
      </w:tr>
      <w:tr>
        <w:trPr>
          <w:trHeight w:val="978" w:hRule="atLeast"/>
        </w:trPr>
        <w:tc>
          <w:tcPr>
            <w:tcW w:w="2693" w:type="dxa"/>
          </w:tcPr>
          <w:p>
            <w:pPr>
              <w:pStyle w:val="TableParagraph"/>
              <w:spacing w:line="268" w:lineRule="exact"/>
              <w:ind w:left="0" w:right="92"/>
              <w:jc w:val="right"/>
              <w:rPr>
                <w:sz w:val="24"/>
              </w:rPr>
            </w:pPr>
            <w:r>
              <w:rPr>
                <w:sz w:val="24"/>
              </w:rPr>
              <w:t>10.19B</w:t>
            </w:r>
          </w:p>
        </w:tc>
        <w:tc>
          <w:tcPr>
            <w:tcW w:w="6663" w:type="dxa"/>
          </w:tcPr>
          <w:p>
            <w:pPr>
              <w:pStyle w:val="TableParagraph"/>
              <w:spacing w:before="20"/>
              <w:rPr>
                <w:i/>
                <w:sz w:val="24"/>
              </w:rPr>
            </w:pPr>
            <w:r>
              <w:rPr>
                <w:sz w:val="24"/>
              </w:rPr>
              <w:t>$0.274 per kilogram of liquefied natural gas, other than liquefied natural gas exempted from excise duty by section 77HB of the </w:t>
            </w:r>
            <w:r>
              <w:rPr>
                <w:i/>
                <w:sz w:val="24"/>
              </w:rPr>
              <w:t>Excise Act 1901</w:t>
            </w:r>
          </w:p>
        </w:tc>
      </w:tr>
      <w:tr>
        <w:trPr>
          <w:trHeight w:val="978" w:hRule="atLeast"/>
        </w:trPr>
        <w:tc>
          <w:tcPr>
            <w:tcW w:w="2693" w:type="dxa"/>
          </w:tcPr>
          <w:p>
            <w:pPr>
              <w:pStyle w:val="TableParagraph"/>
              <w:spacing w:line="268" w:lineRule="exact"/>
              <w:ind w:left="0" w:right="92"/>
              <w:jc w:val="right"/>
              <w:rPr>
                <w:sz w:val="24"/>
              </w:rPr>
            </w:pPr>
            <w:r>
              <w:rPr>
                <w:sz w:val="24"/>
              </w:rPr>
              <w:t>10.19C</w:t>
            </w:r>
          </w:p>
        </w:tc>
        <w:tc>
          <w:tcPr>
            <w:tcW w:w="6663" w:type="dxa"/>
          </w:tcPr>
          <w:p>
            <w:pPr>
              <w:pStyle w:val="TableParagraph"/>
              <w:spacing w:before="20"/>
              <w:ind w:right="578"/>
              <w:rPr>
                <w:i/>
                <w:sz w:val="24"/>
              </w:rPr>
            </w:pPr>
            <w:r>
              <w:rPr>
                <w:sz w:val="24"/>
              </w:rPr>
              <w:t>$0.274 per kilogram of compressed natural gas, other than compressed natural gas exempted from excise duty by section 77HA of the </w:t>
            </w:r>
            <w:r>
              <w:rPr>
                <w:i/>
                <w:sz w:val="24"/>
              </w:rPr>
              <w:t>Excise Act 1901</w:t>
            </w:r>
          </w:p>
        </w:tc>
      </w:tr>
      <w:tr>
        <w:trPr>
          <w:trHeight w:val="426" w:hRule="atLeast"/>
        </w:trPr>
        <w:tc>
          <w:tcPr>
            <w:tcW w:w="2693" w:type="dxa"/>
          </w:tcPr>
          <w:p>
            <w:pPr>
              <w:pStyle w:val="TableParagraph"/>
              <w:spacing w:line="268" w:lineRule="exact"/>
              <w:ind w:left="0" w:right="89"/>
              <w:jc w:val="right"/>
              <w:rPr>
                <w:sz w:val="24"/>
              </w:rPr>
            </w:pPr>
            <w:r>
              <w:rPr>
                <w:sz w:val="24"/>
              </w:rPr>
              <w:t>10.20</w:t>
            </w:r>
          </w:p>
        </w:tc>
        <w:tc>
          <w:tcPr>
            <w:tcW w:w="6663" w:type="dxa"/>
          </w:tcPr>
          <w:p>
            <w:pPr>
              <w:pStyle w:val="TableParagraph"/>
              <w:spacing w:before="20"/>
              <w:rPr>
                <w:sz w:val="24"/>
              </w:rPr>
            </w:pPr>
            <w:r>
              <w:rPr>
                <w:sz w:val="24"/>
              </w:rPr>
              <w:t>the rate of duty worked our under section 6H</w:t>
            </w:r>
          </w:p>
        </w:tc>
      </w:tr>
      <w:tr>
        <w:trPr>
          <w:trHeight w:val="422" w:hRule="atLeast"/>
        </w:trPr>
        <w:tc>
          <w:tcPr>
            <w:tcW w:w="2693" w:type="dxa"/>
          </w:tcPr>
          <w:p>
            <w:pPr>
              <w:pStyle w:val="TableParagraph"/>
              <w:spacing w:line="268" w:lineRule="exact"/>
              <w:ind w:left="0" w:right="89"/>
              <w:jc w:val="right"/>
              <w:rPr>
                <w:sz w:val="24"/>
              </w:rPr>
            </w:pPr>
            <w:r>
              <w:rPr>
                <w:sz w:val="24"/>
              </w:rPr>
              <w:t>10.21</w:t>
            </w:r>
          </w:p>
        </w:tc>
        <w:tc>
          <w:tcPr>
            <w:tcW w:w="6663" w:type="dxa"/>
          </w:tcPr>
          <w:p>
            <w:pPr>
              <w:pStyle w:val="TableParagraph"/>
              <w:spacing w:before="20"/>
              <w:rPr>
                <w:sz w:val="24"/>
              </w:rPr>
            </w:pPr>
            <w:r>
              <w:rPr>
                <w:sz w:val="24"/>
              </w:rPr>
              <w:t>the rate of duty worked our under section 6J</w:t>
            </w:r>
          </w:p>
        </w:tc>
      </w:tr>
      <w:tr>
        <w:trPr>
          <w:trHeight w:val="1257" w:hRule="atLeast"/>
        </w:trPr>
        <w:tc>
          <w:tcPr>
            <w:tcW w:w="2693" w:type="dxa"/>
          </w:tcPr>
          <w:p>
            <w:pPr>
              <w:pStyle w:val="TableParagraph"/>
              <w:spacing w:line="273" w:lineRule="exact"/>
              <w:ind w:left="0" w:right="89"/>
              <w:jc w:val="right"/>
              <w:rPr>
                <w:sz w:val="24"/>
              </w:rPr>
            </w:pPr>
            <w:r>
              <w:rPr>
                <w:sz w:val="24"/>
              </w:rPr>
              <w:t>10.25</w:t>
            </w:r>
          </w:p>
        </w:tc>
        <w:tc>
          <w:tcPr>
            <w:tcW w:w="6663" w:type="dxa"/>
          </w:tcPr>
          <w:p>
            <w:pPr>
              <w:pStyle w:val="TableParagraph"/>
              <w:spacing w:before="25"/>
              <w:ind w:right="297"/>
              <w:rPr>
                <w:sz w:val="24"/>
              </w:rPr>
            </w:pPr>
            <w:r>
              <w:rPr>
                <w:sz w:val="24"/>
              </w:rPr>
              <w:t>$0.401 per litre of liquid aromatic hydrocarbons consisting principally of benzene, toluene or xylene or mixtures of them, other than goods not covered by section 77J of the</w:t>
            </w:r>
          </w:p>
          <w:p>
            <w:pPr>
              <w:pStyle w:val="TableParagraph"/>
              <w:spacing w:line="274" w:lineRule="exact"/>
              <w:rPr>
                <w:i/>
                <w:sz w:val="24"/>
              </w:rPr>
            </w:pPr>
            <w:r>
              <w:rPr>
                <w:i/>
                <w:sz w:val="24"/>
              </w:rPr>
              <w:t>Excise Act 1901</w:t>
            </w:r>
          </w:p>
        </w:tc>
      </w:tr>
      <w:tr>
        <w:trPr>
          <w:trHeight w:val="700" w:hRule="atLeast"/>
        </w:trPr>
        <w:tc>
          <w:tcPr>
            <w:tcW w:w="2693" w:type="dxa"/>
          </w:tcPr>
          <w:p>
            <w:pPr>
              <w:pStyle w:val="TableParagraph"/>
              <w:spacing w:line="268" w:lineRule="exact"/>
              <w:ind w:left="0" w:right="89"/>
              <w:jc w:val="right"/>
              <w:rPr>
                <w:sz w:val="24"/>
              </w:rPr>
            </w:pPr>
            <w:r>
              <w:rPr>
                <w:sz w:val="24"/>
              </w:rPr>
              <w:t>10.26</w:t>
            </w:r>
          </w:p>
        </w:tc>
        <w:tc>
          <w:tcPr>
            <w:tcW w:w="6663" w:type="dxa"/>
          </w:tcPr>
          <w:p>
            <w:pPr>
              <w:pStyle w:val="TableParagraph"/>
              <w:spacing w:line="242" w:lineRule="auto" w:before="20"/>
              <w:ind w:right="124"/>
              <w:rPr>
                <w:i/>
                <w:sz w:val="24"/>
              </w:rPr>
            </w:pPr>
            <w:r>
              <w:rPr>
                <w:sz w:val="24"/>
              </w:rPr>
              <w:t>$0.401 per litre of mineral turpentine, other than goods covered by section 77J of the </w:t>
            </w:r>
            <w:r>
              <w:rPr>
                <w:i/>
                <w:sz w:val="24"/>
              </w:rPr>
              <w:t>Excise Act 1901</w:t>
            </w:r>
          </w:p>
        </w:tc>
      </w:tr>
      <w:tr>
        <w:trPr>
          <w:trHeight w:val="700" w:hRule="atLeast"/>
        </w:trPr>
        <w:tc>
          <w:tcPr>
            <w:tcW w:w="2693" w:type="dxa"/>
          </w:tcPr>
          <w:p>
            <w:pPr>
              <w:pStyle w:val="TableParagraph"/>
              <w:spacing w:line="268" w:lineRule="exact"/>
              <w:ind w:left="0" w:right="89"/>
              <w:jc w:val="right"/>
              <w:rPr>
                <w:sz w:val="24"/>
              </w:rPr>
            </w:pPr>
            <w:r>
              <w:rPr>
                <w:sz w:val="24"/>
              </w:rPr>
              <w:t>10.27</w:t>
            </w:r>
          </w:p>
        </w:tc>
        <w:tc>
          <w:tcPr>
            <w:tcW w:w="6663" w:type="dxa"/>
          </w:tcPr>
          <w:p>
            <w:pPr>
              <w:pStyle w:val="TableParagraph"/>
              <w:spacing w:line="242" w:lineRule="auto" w:before="20"/>
              <w:ind w:right="804"/>
              <w:rPr>
                <w:i/>
                <w:sz w:val="24"/>
              </w:rPr>
            </w:pPr>
            <w:r>
              <w:rPr>
                <w:sz w:val="24"/>
              </w:rPr>
              <w:t>$0.401 per litre of white spirit, other than goods covered by section 77J of the </w:t>
            </w:r>
            <w:r>
              <w:rPr>
                <w:i/>
                <w:sz w:val="24"/>
              </w:rPr>
              <w:t>Excise Act 1901</w:t>
            </w:r>
          </w:p>
        </w:tc>
      </w:tr>
      <w:tr>
        <w:trPr>
          <w:trHeight w:val="978" w:hRule="atLeast"/>
        </w:trPr>
        <w:tc>
          <w:tcPr>
            <w:tcW w:w="2693" w:type="dxa"/>
          </w:tcPr>
          <w:p>
            <w:pPr>
              <w:pStyle w:val="TableParagraph"/>
              <w:spacing w:line="268" w:lineRule="exact"/>
              <w:ind w:left="0" w:right="89"/>
              <w:jc w:val="right"/>
              <w:rPr>
                <w:sz w:val="24"/>
              </w:rPr>
            </w:pPr>
            <w:r>
              <w:rPr>
                <w:sz w:val="24"/>
              </w:rPr>
              <w:t>10.28</w:t>
            </w:r>
          </w:p>
        </w:tc>
        <w:tc>
          <w:tcPr>
            <w:tcW w:w="6663" w:type="dxa"/>
          </w:tcPr>
          <w:p>
            <w:pPr>
              <w:pStyle w:val="TableParagraph"/>
              <w:spacing w:line="242" w:lineRule="auto" w:before="20"/>
              <w:ind w:left="109"/>
              <w:rPr>
                <w:i/>
                <w:sz w:val="24"/>
              </w:rPr>
            </w:pPr>
            <w:r>
              <w:rPr>
                <w:sz w:val="24"/>
              </w:rPr>
              <w:t>$0.401 per litre of petroleum products, other than blends, not elsewhere included, other than goods covered by section 77J of the </w:t>
            </w:r>
            <w:r>
              <w:rPr>
                <w:i/>
                <w:sz w:val="24"/>
              </w:rPr>
              <w:t>Excise Act 1901</w:t>
            </w:r>
          </w:p>
        </w:tc>
      </w:tr>
      <w:tr>
        <w:trPr>
          <w:trHeight w:val="705" w:hRule="atLeast"/>
        </w:trPr>
        <w:tc>
          <w:tcPr>
            <w:tcW w:w="2693" w:type="dxa"/>
          </w:tcPr>
          <w:p>
            <w:pPr>
              <w:pStyle w:val="TableParagraph"/>
              <w:spacing w:line="268" w:lineRule="exact"/>
              <w:ind w:left="0" w:right="89"/>
              <w:jc w:val="right"/>
              <w:rPr>
                <w:sz w:val="24"/>
              </w:rPr>
            </w:pPr>
            <w:r>
              <w:rPr>
                <w:sz w:val="24"/>
              </w:rPr>
              <w:t>10.30</w:t>
            </w:r>
          </w:p>
        </w:tc>
        <w:tc>
          <w:tcPr>
            <w:tcW w:w="6663" w:type="dxa"/>
          </w:tcPr>
          <w:p>
            <w:pPr>
              <w:pStyle w:val="TableParagraph"/>
              <w:spacing w:line="242" w:lineRule="auto" w:before="20"/>
              <w:ind w:left="109" w:right="111"/>
              <w:rPr>
                <w:sz w:val="24"/>
              </w:rPr>
            </w:pPr>
            <w:r>
              <w:rPr>
                <w:sz w:val="24"/>
              </w:rPr>
              <w:t>the amount of duty worked out under section 6G (using $0.401 per litre at step 3 at 6G)</w:t>
            </w:r>
          </w:p>
        </w:tc>
      </w:tr>
    </w:tbl>
    <w:sectPr>
      <w:headerReference w:type="default" r:id="rId10"/>
      <w:pgSz w:w="11910" w:h="16840"/>
      <w:pgMar w:header="0" w:footer="0" w:top="9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TimesNewRomanPS-BoldItalicMT">
    <w:altName w:val="TimesNewRomanPS-BoldItalicM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200012pt;margin-top:34.417561pt;width:21.8pt;height:13.2pt;mso-position-horizontal-relative:page;mso-position-vertical-relative:page;z-index:-16210944" type="#_x0000_t202" filled="false" stroked="false">
          <v:textbox inset="0,0,0,0">
            <w:txbxContent>
              <w:p>
                <w:pPr>
                  <w:spacing w:before="13"/>
                  <w:ind w:left="20" w:right="0" w:firstLine="0"/>
                  <w:jc w:val="left"/>
                  <w:rPr>
                    <w:sz w:val="20"/>
                  </w:rPr>
                </w:pPr>
                <w:r>
                  <w:rPr>
                    <w:sz w:val="20"/>
                  </w:rPr>
                  <w:t>- </w:t>
                </w:r>
                <w:r>
                  <w:rPr/>
                  <w:fldChar w:fldCharType="begin"/>
                </w:r>
                <w:r>
                  <w:rPr>
                    <w:sz w:val="20"/>
                  </w:rPr>
                  <w:instrText> PAGE </w:instrText>
                </w:r>
                <w:r>
                  <w:rPr/>
                  <w:fldChar w:fldCharType="separate"/>
                </w:r>
                <w:r>
                  <w:rPr/>
                  <w:t>2</w:t>
                </w:r>
                <w:r>
                  <w:rPr/>
                  <w:fldChar w:fldCharType="end"/>
                </w:r>
                <w:r>
                  <w:rPr>
                    <w:sz w:val="20"/>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67" w:hanging="360"/>
      </w:pPr>
      <w:rPr>
        <w:rFonts w:hint="default" w:ascii="Arial" w:hAnsi="Arial" w:eastAsia="Arial" w:cs="Arial"/>
        <w:w w:val="131"/>
        <w:sz w:val="24"/>
        <w:szCs w:val="24"/>
      </w:rPr>
    </w:lvl>
    <w:lvl w:ilvl="1">
      <w:start w:val="0"/>
      <w:numFmt w:val="bullet"/>
      <w:lvlText w:val="•"/>
      <w:lvlJc w:val="left"/>
      <w:pPr>
        <w:ind w:left="2864" w:hanging="360"/>
      </w:pPr>
      <w:rPr>
        <w:rFonts w:hint="default"/>
      </w:rPr>
    </w:lvl>
    <w:lvl w:ilvl="2">
      <w:start w:val="0"/>
      <w:numFmt w:val="bullet"/>
      <w:lvlText w:val="•"/>
      <w:lvlJc w:val="left"/>
      <w:pPr>
        <w:ind w:left="3868" w:hanging="360"/>
      </w:pPr>
      <w:rPr>
        <w:rFonts w:hint="default"/>
      </w:rPr>
    </w:lvl>
    <w:lvl w:ilvl="3">
      <w:start w:val="0"/>
      <w:numFmt w:val="bullet"/>
      <w:lvlText w:val="•"/>
      <w:lvlJc w:val="left"/>
      <w:pPr>
        <w:ind w:left="4873" w:hanging="360"/>
      </w:pPr>
      <w:rPr>
        <w:rFonts w:hint="default"/>
      </w:rPr>
    </w:lvl>
    <w:lvl w:ilvl="4">
      <w:start w:val="0"/>
      <w:numFmt w:val="bullet"/>
      <w:lvlText w:val="•"/>
      <w:lvlJc w:val="left"/>
      <w:pPr>
        <w:ind w:left="5877" w:hanging="360"/>
      </w:pPr>
      <w:rPr>
        <w:rFonts w:hint="default"/>
      </w:rPr>
    </w:lvl>
    <w:lvl w:ilvl="5">
      <w:start w:val="0"/>
      <w:numFmt w:val="bullet"/>
      <w:lvlText w:val="•"/>
      <w:lvlJc w:val="left"/>
      <w:pPr>
        <w:ind w:left="6882" w:hanging="360"/>
      </w:pPr>
      <w:rPr>
        <w:rFonts w:hint="default"/>
      </w:rPr>
    </w:lvl>
    <w:lvl w:ilvl="6">
      <w:start w:val="0"/>
      <w:numFmt w:val="bullet"/>
      <w:lvlText w:val="•"/>
      <w:lvlJc w:val="left"/>
      <w:pPr>
        <w:ind w:left="7886" w:hanging="360"/>
      </w:pPr>
      <w:rPr>
        <w:rFonts w:hint="default"/>
      </w:rPr>
    </w:lvl>
    <w:lvl w:ilvl="7">
      <w:start w:val="0"/>
      <w:numFmt w:val="bullet"/>
      <w:lvlText w:val="•"/>
      <w:lvlJc w:val="left"/>
      <w:pPr>
        <w:ind w:left="8890" w:hanging="360"/>
      </w:pPr>
      <w:rPr>
        <w:rFonts w:hint="default"/>
      </w:rPr>
    </w:lvl>
    <w:lvl w:ilvl="8">
      <w:start w:val="0"/>
      <w:numFmt w:val="bullet"/>
      <w:lvlText w:val="•"/>
      <w:lvlJc w:val="left"/>
      <w:pPr>
        <w:ind w:left="989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90"/>
      <w:ind w:left="1238"/>
    </w:pPr>
    <w:rPr>
      <w:rFonts w:ascii="Arial" w:hAnsi="Arial" w:eastAsia="Arial" w:cs="Arial"/>
      <w:b/>
      <w:bCs/>
      <w:sz w:val="28"/>
      <w:szCs w:val="28"/>
    </w:rPr>
  </w:style>
  <w:style w:styleId="ListParagraph" w:type="paragraph">
    <w:name w:val="List Paragraph"/>
    <w:basedOn w:val="Normal"/>
    <w:uiPriority w:val="1"/>
    <w:qFormat/>
    <w:pPr>
      <w:spacing w:before="16"/>
      <w:ind w:left="1867" w:hanging="361"/>
    </w:pPr>
    <w:rPr>
      <w:rFonts w:ascii="Times New Roman" w:hAnsi="Times New Roman" w:eastAsia="Times New Roman" w:cs="Times New Roman"/>
    </w:rPr>
  </w:style>
  <w:style w:styleId="TableParagraph" w:type="paragraph">
    <w:name w:val="Table Paragraph"/>
    <w:basedOn w:val="Normal"/>
    <w:uiPriority w:val="1"/>
    <w:qFormat/>
    <w:pPr>
      <w:ind w:left="11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https://www.ato.gov.au/Business/Excise-and-excise-equivalent-goods/Alcohol-excise/Excise-rates-for-alcohol/" TargetMode="External"/><Relationship Id="rId8" Type="http://schemas.openxmlformats.org/officeDocument/2006/relationships/hyperlink" Target="https://www.ato.gov.au/Business/Excise-and-excise-equivalent-goods/Fuel-excise/Excise-rates-for-fuel/" TargetMode="External"/><Relationship Id="rId9" Type="http://schemas.openxmlformats.org/officeDocument/2006/relationships/hyperlink" Target="http://www.border.gov.au/Busi/cargo-support-trade-and-goods/importing-goods/tariff-classification-of-goods/current-tariff-classification" TargetMode="External"/><Relationship Id="rId10" Type="http://schemas.openxmlformats.org/officeDocument/2006/relationships/header" Target="header2.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CPI; Consumer Price Index; Indexation; Fuel; Alcohol; LPG; LNG; CPG</cp:keywords>
  <dc:subject>CPI Indexation of certain fuel and alcohol products</dc:subject>
  <dc:title>DIBP Notice 2017-02</dc:title>
  <dcterms:created xsi:type="dcterms:W3CDTF">2020-12-09T22:39:04Z</dcterms:created>
  <dcterms:modified xsi:type="dcterms:W3CDTF">2020-12-09T22:39:04Z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2017-01-27T00:00:00Z</vt:filetime>
  </property>
  <property fmtid="{D5CDD505-2E9C-101B-9397-08002B2CF9AE}" pid="3" name="Creator">
    <vt:lpwstr>Acrobat PDFMaker 10.0 for Word</vt:lpwstr>
  </property>
  <property fmtid="{D5CDD505-2E9C-101B-9397-08002B2CF9AE}" pid="4" name="LastSaved">
    <vt:filetime>2020-12-09T00:00:00Z</vt:filetime>
  </property>
</Properties>
</file>