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spacing w:before="90"/>
        <w:ind w:right="1500"/>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39"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39" cy="1109217"/>
                    </a:xfrm>
                    <a:prstGeom prst="rect">
                      <a:avLst/>
                    </a:prstGeom>
                  </pic:spPr>
                </pic:pic>
              </a:graphicData>
            </a:graphic>
          </wp:anchor>
        </w:drawing>
      </w:r>
      <w:r>
        <w:rPr/>
        <w:t>DEPARTMENT OF IMMIGRATION AND BORDER PROTECTION NOTICE</w:t>
      </w:r>
    </w:p>
    <w:p>
      <w:pPr>
        <w:spacing w:before="120"/>
        <w:ind w:left="943" w:right="1037" w:firstLine="0"/>
        <w:jc w:val="center"/>
        <w:rPr>
          <w:rFonts w:ascii="Arial"/>
          <w:b/>
          <w:sz w:val="28"/>
        </w:rPr>
      </w:pPr>
      <w:r>
        <w:rPr/>
        <w:pict>
          <v:rect style="position:absolute;margin-left:55.944pt;margin-top:26.331833pt;width:478.51pt;height:.48pt;mso-position-horizontal-relative:page;mso-position-vertical-relative:paragraph;z-index:-15728640;mso-wrap-distance-left:0;mso-wrap-distance-right:0" filled="true" fillcolor="#4f81bc" stroked="false">
            <v:fill type="solid"/>
            <w10:wrap type="topAndBottom"/>
          </v:rect>
        </w:pict>
      </w:r>
      <w:r>
        <w:rPr>
          <w:rFonts w:ascii="Arial"/>
          <w:b/>
          <w:sz w:val="28"/>
        </w:rPr>
        <w:t>No.2017/03</w:t>
      </w:r>
    </w:p>
    <w:p>
      <w:pPr>
        <w:pStyle w:val="Heading1"/>
        <w:ind w:right="1493"/>
      </w:pPr>
      <w:r>
        <w:rPr/>
        <w:t>Customs Tariff Working Page Subscription Service</w:t>
      </w:r>
    </w:p>
    <w:p>
      <w:pPr>
        <w:pStyle w:val="BodyText"/>
        <w:spacing w:before="140"/>
        <w:ind w:left="1147" w:right="1691"/>
        <w:jc w:val="both"/>
      </w:pPr>
      <w:r>
        <w:rPr/>
        <w:t>The Department of Immigration and Border Protection will end Customs Tariff Working Page and Notice subscription services as of 30 June 2017. No new subscriptions will be accepted as of the date this notice is published.</w:t>
      </w:r>
    </w:p>
    <w:p>
      <w:pPr>
        <w:pStyle w:val="BodyText"/>
      </w:pPr>
    </w:p>
    <w:p>
      <w:pPr>
        <w:pStyle w:val="BodyText"/>
        <w:spacing w:line="242" w:lineRule="auto"/>
        <w:ind w:left="1147" w:right="1741"/>
        <w:jc w:val="both"/>
      </w:pPr>
      <w:r>
        <w:rPr/>
        <w:t>Subscribers with a current Customs Tariff Working Page subscription will continue </w:t>
      </w:r>
      <w:r>
        <w:rPr>
          <w:spacing w:val="2"/>
        </w:rPr>
        <w:t>to</w:t>
      </w:r>
      <w:r>
        <w:rPr>
          <w:spacing w:val="-41"/>
        </w:rPr>
        <w:t> </w:t>
      </w:r>
      <w:r>
        <w:rPr/>
        <w:t>receive updates until the service ends. The currently remaining scheduled updates</w:t>
      </w:r>
      <w:r>
        <w:rPr>
          <w:spacing w:val="1"/>
        </w:rPr>
        <w:t> </w:t>
      </w:r>
      <w:r>
        <w:rPr/>
        <w:t>are:</w:t>
      </w:r>
    </w:p>
    <w:p>
      <w:pPr>
        <w:pStyle w:val="BodyText"/>
        <w:spacing w:before="4"/>
        <w:rPr>
          <w:sz w:val="25"/>
        </w:rPr>
      </w:pPr>
    </w:p>
    <w:p>
      <w:pPr>
        <w:pStyle w:val="ListParagraph"/>
        <w:numPr>
          <w:ilvl w:val="0"/>
          <w:numId w:val="1"/>
        </w:numPr>
        <w:tabs>
          <w:tab w:pos="1868" w:val="left" w:leader="none"/>
          <w:tab w:pos="1869" w:val="left" w:leader="none"/>
        </w:tabs>
        <w:spacing w:line="240" w:lineRule="auto" w:before="0" w:after="0"/>
        <w:ind w:left="1868" w:right="0" w:hanging="362"/>
        <w:jc w:val="left"/>
        <w:rPr>
          <w:sz w:val="24"/>
        </w:rPr>
      </w:pPr>
      <w:r>
        <w:rPr>
          <w:sz w:val="24"/>
        </w:rPr>
        <w:t>the February 2017 consumer price index</w:t>
      </w:r>
      <w:r>
        <w:rPr>
          <w:spacing w:val="-1"/>
          <w:sz w:val="24"/>
        </w:rPr>
        <w:t> </w:t>
      </w:r>
      <w:r>
        <w:rPr>
          <w:sz w:val="24"/>
        </w:rPr>
        <w:t>amendments</w:t>
      </w:r>
    </w:p>
    <w:p>
      <w:pPr>
        <w:pStyle w:val="ListParagraph"/>
        <w:numPr>
          <w:ilvl w:val="0"/>
          <w:numId w:val="1"/>
        </w:numPr>
        <w:tabs>
          <w:tab w:pos="1868" w:val="left" w:leader="none"/>
          <w:tab w:pos="1869" w:val="left" w:leader="none"/>
        </w:tabs>
        <w:spacing w:line="240" w:lineRule="auto" w:before="16" w:after="0"/>
        <w:ind w:left="1868" w:right="0" w:hanging="362"/>
        <w:jc w:val="left"/>
        <w:rPr>
          <w:sz w:val="24"/>
        </w:rPr>
      </w:pPr>
      <w:r>
        <w:rPr>
          <w:sz w:val="24"/>
        </w:rPr>
        <w:t>the March 2017 average weekly ordinary time earnings</w:t>
      </w:r>
      <w:r>
        <w:rPr>
          <w:spacing w:val="-7"/>
          <w:sz w:val="24"/>
        </w:rPr>
        <w:t> </w:t>
      </w:r>
      <w:r>
        <w:rPr>
          <w:sz w:val="24"/>
        </w:rPr>
        <w:t>amendments</w:t>
      </w:r>
    </w:p>
    <w:p>
      <w:pPr>
        <w:pStyle w:val="BodyText"/>
        <w:spacing w:before="6"/>
        <w:rPr>
          <w:sz w:val="23"/>
        </w:rPr>
      </w:pPr>
    </w:p>
    <w:p>
      <w:pPr>
        <w:pStyle w:val="BodyText"/>
        <w:spacing w:line="242" w:lineRule="auto" w:before="1"/>
        <w:ind w:left="1147" w:right="2065"/>
      </w:pPr>
      <w:r>
        <w:rPr/>
        <w:t>Subscribers with subscriptions that expire after 30 June 2017 will be eligible for a pro-rata refund.</w:t>
      </w:r>
    </w:p>
    <w:p>
      <w:pPr>
        <w:pStyle w:val="BodyText"/>
        <w:spacing w:before="8"/>
        <w:rPr>
          <w:sz w:val="23"/>
        </w:rPr>
      </w:pPr>
    </w:p>
    <w:p>
      <w:pPr>
        <w:pStyle w:val="BodyText"/>
        <w:spacing w:before="1"/>
        <w:ind w:left="1147" w:right="1865"/>
      </w:pPr>
      <w:r>
        <w:rPr/>
        <w:t>The Department will make available digital versions of the Customs Tariff Working Pages changes to allow self-printing of the updates. The first digital upgrade will be for the February 2017 consumer price index amendments and will be available on the Department’s website in early February 2017.</w:t>
      </w:r>
    </w:p>
    <w:p>
      <w:pPr>
        <w:pStyle w:val="BodyText"/>
        <w:spacing w:before="9"/>
        <w:rPr>
          <w:sz w:val="23"/>
        </w:rPr>
      </w:pPr>
    </w:p>
    <w:p>
      <w:pPr>
        <w:pStyle w:val="BodyText"/>
        <w:ind w:left="1147" w:right="1896"/>
      </w:pPr>
      <w:r>
        <w:rPr/>
        <w:t>An online version of the working tariff, including statistical codes, is also available on the Department’s website. The searchable version will be updated and amended for all changes, consistent with existing practice for the Customs Tariff Working Pages. The searchable version of the working tariff can be found at: </w:t>
      </w:r>
      <w:hyperlink r:id="rId6">
        <w:r>
          <w:rPr>
            <w:color w:val="800080"/>
            <w:u w:val="single" w:color="800080"/>
          </w:rPr>
          <w:t>http://www.border.gov.au/Busi/cargo-support-</w:t>
        </w:r>
      </w:hyperlink>
      <w:r>
        <w:rPr>
          <w:color w:val="800080"/>
        </w:rPr>
        <w:t> </w:t>
      </w:r>
      <w:hyperlink r:id="rId6">
        <w:r>
          <w:rPr>
            <w:color w:val="800080"/>
            <w:u w:val="single" w:color="800080"/>
          </w:rPr>
          <w:t>trade-and-goods/importing-goods/tariff-classification-of-goods/current-tariff-classification</w:t>
        </w:r>
      </w:hyperlink>
    </w:p>
    <w:p>
      <w:pPr>
        <w:pStyle w:val="BodyText"/>
        <w:spacing w:before="3"/>
        <w:rPr>
          <w:sz w:val="16"/>
        </w:rPr>
      </w:pPr>
    </w:p>
    <w:p>
      <w:pPr>
        <w:pStyle w:val="BodyText"/>
        <w:spacing w:line="242" w:lineRule="auto" w:before="90"/>
        <w:ind w:left="1147" w:right="2065"/>
      </w:pPr>
      <w:r>
        <w:rPr/>
        <w:t>The PDF version of the Customs Tariff Working Pages will also be retained on the Department’s website and will serve as the archive version of the 2012 Working Tariff.</w:t>
      </w:r>
    </w:p>
    <w:p>
      <w:pPr>
        <w:pStyle w:val="BodyText"/>
        <w:spacing w:before="8"/>
        <w:rPr>
          <w:sz w:val="23"/>
        </w:rPr>
      </w:pPr>
    </w:p>
    <w:p>
      <w:pPr>
        <w:pStyle w:val="BodyText"/>
        <w:ind w:left="1147"/>
      </w:pPr>
      <w:r>
        <w:rPr/>
        <w:t>Departmental notices will continue to be published on the Department’s website.</w:t>
      </w:r>
    </w:p>
    <w:p>
      <w:pPr>
        <w:pStyle w:val="BodyText"/>
        <w:spacing w:before="1"/>
      </w:pPr>
    </w:p>
    <w:p>
      <w:pPr>
        <w:pStyle w:val="BodyText"/>
        <w:ind w:left="1147"/>
      </w:pPr>
      <w:r>
        <w:rPr/>
        <w:t>Please direct any queries regarding the subscription services to: </w:t>
      </w:r>
      <w:hyperlink r:id="rId7">
        <w:r>
          <w:rPr/>
          <w:t>pubsact@border.gov.au.</w:t>
        </w:r>
      </w:hyperlink>
    </w:p>
    <w:p>
      <w:pPr>
        <w:pStyle w:val="BodyText"/>
        <w:rPr>
          <w:sz w:val="20"/>
        </w:rPr>
      </w:pPr>
    </w:p>
    <w:p>
      <w:pPr>
        <w:pStyle w:val="BodyText"/>
        <w:rPr>
          <w:sz w:val="20"/>
        </w:rPr>
      </w:pPr>
    </w:p>
    <w:p>
      <w:pPr>
        <w:pStyle w:val="BodyText"/>
        <w:rPr>
          <w:sz w:val="20"/>
        </w:rPr>
      </w:pPr>
    </w:p>
    <w:p>
      <w:pPr>
        <w:pStyle w:val="BodyText"/>
        <w:spacing w:before="9"/>
        <w:rPr>
          <w:sz w:val="28"/>
        </w:rPr>
      </w:pPr>
    </w:p>
    <w:tbl>
      <w:tblPr>
        <w:tblW w:w="0" w:type="auto"/>
        <w:jc w:val="left"/>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2"/>
        <w:gridCol w:w="3698"/>
      </w:tblGrid>
      <w:tr>
        <w:trPr>
          <w:trHeight w:val="1369" w:hRule="atLeast"/>
        </w:trPr>
        <w:tc>
          <w:tcPr>
            <w:tcW w:w="3872" w:type="dxa"/>
          </w:tcPr>
          <w:p>
            <w:pPr>
              <w:pStyle w:val="TableParagraph"/>
              <w:spacing w:line="242" w:lineRule="auto"/>
              <w:ind w:left="204" w:right="2575"/>
              <w:rPr>
                <w:sz w:val="24"/>
              </w:rPr>
            </w:pPr>
            <w:r>
              <w:rPr>
                <w:sz w:val="24"/>
              </w:rPr>
              <w:t>(Signed) Peter Nagy</w:t>
            </w:r>
          </w:p>
          <w:p>
            <w:pPr>
              <w:pStyle w:val="TableParagraph"/>
              <w:spacing w:line="271" w:lineRule="exact"/>
              <w:ind w:left="204"/>
              <w:rPr>
                <w:sz w:val="24"/>
              </w:rPr>
            </w:pPr>
            <w:r>
              <w:rPr>
                <w:sz w:val="24"/>
              </w:rPr>
              <w:t>Acting Assistant Secretary</w:t>
            </w:r>
          </w:p>
          <w:p>
            <w:pPr>
              <w:pStyle w:val="TableParagraph"/>
              <w:spacing w:line="274" w:lineRule="exact"/>
              <w:ind w:left="200" w:right="1028" w:firstLine="4"/>
              <w:rPr>
                <w:sz w:val="24"/>
              </w:rPr>
            </w:pPr>
            <w:r>
              <w:rPr>
                <w:sz w:val="24"/>
              </w:rPr>
              <w:t>Trade and Customs Branch 30 January 2017</w:t>
            </w:r>
          </w:p>
        </w:tc>
        <w:tc>
          <w:tcPr>
            <w:tcW w:w="3698" w:type="dxa"/>
          </w:tcPr>
          <w:p>
            <w:pPr>
              <w:pStyle w:val="TableParagraph"/>
              <w:spacing w:line="242" w:lineRule="auto"/>
              <w:ind w:right="1083"/>
              <w:rPr>
                <w:sz w:val="24"/>
              </w:rPr>
            </w:pPr>
            <w:r>
              <w:rPr>
                <w:sz w:val="24"/>
              </w:rPr>
              <w:t>(Signed) Vidoshi Jana</w:t>
            </w:r>
          </w:p>
          <w:p>
            <w:pPr>
              <w:pStyle w:val="TableParagraph"/>
              <w:spacing w:line="271" w:lineRule="exact"/>
              <w:rPr>
                <w:sz w:val="24"/>
              </w:rPr>
            </w:pPr>
            <w:r>
              <w:rPr>
                <w:sz w:val="24"/>
              </w:rPr>
              <w:t>Assistant Secretary</w:t>
            </w:r>
          </w:p>
          <w:p>
            <w:pPr>
              <w:pStyle w:val="TableParagraph"/>
              <w:spacing w:line="274" w:lineRule="exact"/>
              <w:rPr>
                <w:sz w:val="24"/>
              </w:rPr>
            </w:pPr>
            <w:r>
              <w:rPr>
                <w:sz w:val="24"/>
              </w:rPr>
              <w:t>Information Management 30 January 2017</w:t>
            </w:r>
          </w:p>
        </w:tc>
      </w:tr>
    </w:tbl>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8" w:hanging="361"/>
      </w:pPr>
      <w:rPr>
        <w:rFonts w:hint="default" w:ascii="Arial" w:hAnsi="Arial" w:eastAsia="Arial" w:cs="Arial"/>
        <w:w w:val="131"/>
        <w:sz w:val="24"/>
        <w:szCs w:val="24"/>
        <w:lang w:val="en-au" w:eastAsia="en-US" w:bidi="ar-SA"/>
      </w:rPr>
    </w:lvl>
    <w:lvl w:ilvl="1">
      <w:start w:val="0"/>
      <w:numFmt w:val="bullet"/>
      <w:lvlText w:val="•"/>
      <w:lvlJc w:val="left"/>
      <w:pPr>
        <w:ind w:left="2864" w:hanging="361"/>
      </w:pPr>
      <w:rPr>
        <w:rFonts w:hint="default"/>
        <w:lang w:val="en-au" w:eastAsia="en-US" w:bidi="ar-SA"/>
      </w:rPr>
    </w:lvl>
    <w:lvl w:ilvl="2">
      <w:start w:val="0"/>
      <w:numFmt w:val="bullet"/>
      <w:lvlText w:val="•"/>
      <w:lvlJc w:val="left"/>
      <w:pPr>
        <w:ind w:left="3868" w:hanging="361"/>
      </w:pPr>
      <w:rPr>
        <w:rFonts w:hint="default"/>
        <w:lang w:val="en-au" w:eastAsia="en-US" w:bidi="ar-SA"/>
      </w:rPr>
    </w:lvl>
    <w:lvl w:ilvl="3">
      <w:start w:val="0"/>
      <w:numFmt w:val="bullet"/>
      <w:lvlText w:val="•"/>
      <w:lvlJc w:val="left"/>
      <w:pPr>
        <w:ind w:left="4873" w:hanging="361"/>
      </w:pPr>
      <w:rPr>
        <w:rFonts w:hint="default"/>
        <w:lang w:val="en-au" w:eastAsia="en-US" w:bidi="ar-SA"/>
      </w:rPr>
    </w:lvl>
    <w:lvl w:ilvl="4">
      <w:start w:val="0"/>
      <w:numFmt w:val="bullet"/>
      <w:lvlText w:val="•"/>
      <w:lvlJc w:val="left"/>
      <w:pPr>
        <w:ind w:left="5877" w:hanging="361"/>
      </w:pPr>
      <w:rPr>
        <w:rFonts w:hint="default"/>
        <w:lang w:val="en-au" w:eastAsia="en-US" w:bidi="ar-SA"/>
      </w:rPr>
    </w:lvl>
    <w:lvl w:ilvl="5">
      <w:start w:val="0"/>
      <w:numFmt w:val="bullet"/>
      <w:lvlText w:val="•"/>
      <w:lvlJc w:val="left"/>
      <w:pPr>
        <w:ind w:left="6882" w:hanging="361"/>
      </w:pPr>
      <w:rPr>
        <w:rFonts w:hint="default"/>
        <w:lang w:val="en-au" w:eastAsia="en-US" w:bidi="ar-SA"/>
      </w:rPr>
    </w:lvl>
    <w:lvl w:ilvl="6">
      <w:start w:val="0"/>
      <w:numFmt w:val="bullet"/>
      <w:lvlText w:val="•"/>
      <w:lvlJc w:val="left"/>
      <w:pPr>
        <w:ind w:left="7886" w:hanging="361"/>
      </w:pPr>
      <w:rPr>
        <w:rFonts w:hint="default"/>
        <w:lang w:val="en-au" w:eastAsia="en-US" w:bidi="ar-SA"/>
      </w:rPr>
    </w:lvl>
    <w:lvl w:ilvl="7">
      <w:start w:val="0"/>
      <w:numFmt w:val="bullet"/>
      <w:lvlText w:val="•"/>
      <w:lvlJc w:val="left"/>
      <w:pPr>
        <w:ind w:left="8890" w:hanging="361"/>
      </w:pPr>
      <w:rPr>
        <w:rFonts w:hint="default"/>
        <w:lang w:val="en-au" w:eastAsia="en-US" w:bidi="ar-SA"/>
      </w:rPr>
    </w:lvl>
    <w:lvl w:ilvl="8">
      <w:start w:val="0"/>
      <w:numFmt w:val="bullet"/>
      <w:lvlText w:val="•"/>
      <w:lvlJc w:val="left"/>
      <w:pPr>
        <w:ind w:left="9895" w:hanging="361"/>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Heading1" w:type="paragraph">
    <w:name w:val="Heading 1"/>
    <w:basedOn w:val="Normal"/>
    <w:uiPriority w:val="1"/>
    <w:qFormat/>
    <w:pPr>
      <w:spacing w:before="82"/>
      <w:ind w:left="943" w:right="1037"/>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868" w:hanging="362"/>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ind w:left="1048"/>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argo-support-trade-and-goods/importing-goods/tariff-classification-of-goods/current-tariff-classification" TargetMode="External"/><Relationship Id="rId7" Type="http://schemas.openxmlformats.org/officeDocument/2006/relationships/hyperlink" Target="mailto:pubsact@border.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Customs Tariff Working Page Subscription Service</cp:keywords>
  <dc:subject>Customs Tariff Working Page Subscription Service</dc:subject>
  <dc:title>Customs Tariff Working Page Subscription Service</dc:title>
  <dcterms:created xsi:type="dcterms:W3CDTF">2020-12-09T22:39:32Z</dcterms:created>
  <dcterms:modified xsi:type="dcterms:W3CDTF">2020-12-09T22:39:32Z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Creator">
    <vt:lpwstr>Microsoft® Word 2016</vt:lpwstr>
  </property>
  <property fmtid="{D5CDD505-2E9C-101B-9397-08002B2CF9AE}" pid="4" name="LastSaved">
    <vt:filetime>2020-12-09T00:00:00Z</vt:filetime>
  </property>
</Properties>
</file>