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Title"/>
        <w:spacing w:line="405" w:lineRule="auto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-1293061</wp:posOffset>
            </wp:positionV>
            <wp:extent cx="7559014" cy="111065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14" cy="111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4.560001pt;margin-top:48.85387pt;width:527.28pt;height:.48pt;mso-position-horizontal-relative:page;mso-position-vertical-relative:paragraph;z-index:-15770112" filled="true" fillcolor="#4f81bd" stroked="false">
            <v:fill type="solid"/>
            <w10:wrap type="none"/>
          </v:rect>
        </w:pict>
      </w:r>
      <w:r>
        <w:rPr/>
        <w:t>DEPARTMENT OF IMMIGRATION AND BORDER PROTECTION NOTICE No.2017/07</w:t>
      </w:r>
    </w:p>
    <w:p>
      <w:pPr>
        <w:spacing w:before="161"/>
        <w:ind w:left="3062" w:right="2633" w:firstLine="297"/>
        <w:jc w:val="left"/>
        <w:rPr>
          <w:rFonts w:ascii="Arial-BoldItalicMT"/>
          <w:b/>
          <w:i/>
          <w:sz w:val="26"/>
        </w:rPr>
      </w:pPr>
      <w:r>
        <w:rPr>
          <w:rFonts w:ascii="Arial-BoldItalicMT"/>
          <w:b/>
          <w:i/>
          <w:sz w:val="26"/>
        </w:rPr>
        <w:t>Customs Duty Rate Changes for 1 April 2017: Japan-Australia Economic Partnership Agreement</w:t>
      </w:r>
    </w:p>
    <w:p>
      <w:pPr>
        <w:pStyle w:val="BodyText"/>
        <w:spacing w:before="10"/>
        <w:rPr>
          <w:rFonts w:ascii="Arial-BoldItalicMT"/>
          <w:b/>
          <w:i/>
          <w:sz w:val="23"/>
        </w:rPr>
      </w:pPr>
    </w:p>
    <w:p>
      <w:pPr>
        <w:pStyle w:val="BodyText"/>
        <w:ind w:left="1147" w:right="759"/>
      </w:pPr>
      <w:r>
        <w:rPr/>
        <w:t>Australia has committed to progressively reduce the rates of customs duty on certain Japanese originating goods through the Japan-Australia Economic Partnership Agreement.</w:t>
      </w:r>
    </w:p>
    <w:p>
      <w:pPr>
        <w:pStyle w:val="BodyText"/>
        <w:spacing w:before="1"/>
      </w:pPr>
    </w:p>
    <w:p>
      <w:pPr>
        <w:pStyle w:val="BodyText"/>
        <w:ind w:left="1147"/>
      </w:pPr>
      <w:r>
        <w:rPr/>
        <w:t>The next reduction of customs duty rates will occur on 1 April 2017 and will affect certain imports of: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7" w:right="0" w:hanging="361"/>
        <w:jc w:val="left"/>
        <w:rPr>
          <w:sz w:val="20"/>
        </w:rPr>
      </w:pPr>
      <w:r>
        <w:rPr>
          <w:sz w:val="20"/>
        </w:rPr>
        <w:t>plastic and rubber</w:t>
      </w:r>
      <w:r>
        <w:rPr>
          <w:spacing w:val="3"/>
          <w:sz w:val="20"/>
        </w:rPr>
        <w:t> </w:t>
      </w:r>
      <w:r>
        <w:rPr>
          <w:sz w:val="20"/>
        </w:rPr>
        <w:t>goods</w:t>
      </w:r>
    </w:p>
    <w:p>
      <w:pPr>
        <w:pStyle w:val="ListParagraph"/>
        <w:numPr>
          <w:ilvl w:val="0"/>
          <w:numId w:val="1"/>
        </w:numPr>
        <w:tabs>
          <w:tab w:pos="1867" w:val="left" w:leader="none"/>
          <w:tab w:pos="1868" w:val="left" w:leader="none"/>
        </w:tabs>
        <w:spacing w:line="240" w:lineRule="auto" w:before="14" w:after="0"/>
        <w:ind w:left="1867" w:right="0" w:hanging="361"/>
        <w:jc w:val="left"/>
        <w:rPr>
          <w:sz w:val="20"/>
        </w:rPr>
      </w:pPr>
      <w:r>
        <w:rPr>
          <w:sz w:val="20"/>
        </w:rPr>
        <w:t>leather</w:t>
      </w:r>
      <w:r>
        <w:rPr>
          <w:spacing w:val="1"/>
          <w:sz w:val="20"/>
        </w:rPr>
        <w:t> </w:t>
      </w:r>
      <w:r>
        <w:rPr>
          <w:sz w:val="20"/>
        </w:rPr>
        <w:t>goods</w:t>
      </w:r>
    </w:p>
    <w:p>
      <w:pPr>
        <w:pStyle w:val="ListParagraph"/>
        <w:numPr>
          <w:ilvl w:val="0"/>
          <w:numId w:val="1"/>
        </w:numPr>
        <w:tabs>
          <w:tab w:pos="1867" w:val="left" w:leader="none"/>
          <w:tab w:pos="1868" w:val="left" w:leader="none"/>
        </w:tabs>
        <w:spacing w:line="240" w:lineRule="auto" w:before="15" w:after="0"/>
        <w:ind w:left="1867" w:right="0" w:hanging="361"/>
        <w:jc w:val="left"/>
        <w:rPr>
          <w:sz w:val="20"/>
        </w:rPr>
      </w:pPr>
      <w:r>
        <w:rPr>
          <w:sz w:val="20"/>
        </w:rPr>
        <w:t>textile, clothing and footwear</w:t>
      </w:r>
      <w:r>
        <w:rPr>
          <w:spacing w:val="-1"/>
          <w:sz w:val="20"/>
        </w:rPr>
        <w:t> </w:t>
      </w:r>
      <w:r>
        <w:rPr>
          <w:sz w:val="20"/>
        </w:rPr>
        <w:t>goods</w:t>
      </w:r>
    </w:p>
    <w:p>
      <w:pPr>
        <w:pStyle w:val="ListParagraph"/>
        <w:numPr>
          <w:ilvl w:val="0"/>
          <w:numId w:val="1"/>
        </w:numPr>
        <w:tabs>
          <w:tab w:pos="1867" w:val="left" w:leader="none"/>
          <w:tab w:pos="1868" w:val="left" w:leader="none"/>
        </w:tabs>
        <w:spacing w:line="240" w:lineRule="auto" w:before="15" w:after="0"/>
        <w:ind w:left="1867" w:right="0" w:hanging="361"/>
        <w:jc w:val="left"/>
        <w:rPr>
          <w:sz w:val="20"/>
        </w:rPr>
      </w:pPr>
      <w:r>
        <w:rPr>
          <w:sz w:val="20"/>
        </w:rPr>
        <w:t>stone, plaster, cement, mica or similar materials for </w:t>
      </w:r>
      <w:r>
        <w:rPr>
          <w:spacing w:val="-3"/>
          <w:sz w:val="20"/>
        </w:rPr>
        <w:t>use </w:t>
      </w:r>
      <w:r>
        <w:rPr>
          <w:sz w:val="20"/>
        </w:rPr>
        <w:t>as components in </w:t>
      </w:r>
      <w:r>
        <w:rPr>
          <w:spacing w:val="-3"/>
          <w:sz w:val="20"/>
        </w:rPr>
        <w:t>passenger </w:t>
      </w:r>
      <w:r>
        <w:rPr>
          <w:sz w:val="20"/>
        </w:rPr>
        <w:t>motor</w:t>
      </w:r>
      <w:r>
        <w:rPr>
          <w:spacing w:val="-1"/>
          <w:sz w:val="20"/>
        </w:rPr>
        <w:t> </w:t>
      </w:r>
      <w:r>
        <w:rPr>
          <w:sz w:val="20"/>
        </w:rPr>
        <w:t>vehicles</w:t>
      </w:r>
    </w:p>
    <w:p>
      <w:pPr>
        <w:pStyle w:val="ListParagraph"/>
        <w:numPr>
          <w:ilvl w:val="0"/>
          <w:numId w:val="1"/>
        </w:numPr>
        <w:tabs>
          <w:tab w:pos="1867" w:val="left" w:leader="none"/>
          <w:tab w:pos="1868" w:val="left" w:leader="none"/>
        </w:tabs>
        <w:spacing w:line="240" w:lineRule="auto" w:before="10" w:after="0"/>
        <w:ind w:left="1867" w:right="0" w:hanging="361"/>
        <w:jc w:val="left"/>
        <w:rPr>
          <w:sz w:val="20"/>
        </w:rPr>
      </w:pPr>
      <w:r>
        <w:rPr>
          <w:sz w:val="20"/>
        </w:rPr>
        <w:t>toughened (tempered) safety </w:t>
      </w:r>
      <w:r>
        <w:rPr>
          <w:spacing w:val="-3"/>
          <w:sz w:val="20"/>
        </w:rPr>
        <w:t>glass </w:t>
      </w:r>
      <w:r>
        <w:rPr>
          <w:sz w:val="20"/>
        </w:rPr>
        <w:t>and laminated </w:t>
      </w:r>
      <w:r>
        <w:rPr>
          <w:spacing w:val="-2"/>
          <w:sz w:val="20"/>
        </w:rPr>
        <w:t>safety </w:t>
      </w:r>
      <w:r>
        <w:rPr>
          <w:sz w:val="20"/>
        </w:rPr>
        <w:t>glass for </w:t>
      </w:r>
      <w:r>
        <w:rPr>
          <w:spacing w:val="-3"/>
          <w:sz w:val="20"/>
        </w:rPr>
        <w:t>use </w:t>
      </w:r>
      <w:r>
        <w:rPr>
          <w:sz w:val="20"/>
        </w:rPr>
        <w:t>as components in motor vehicles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  <w:tab w:pos="1867" w:val="left" w:leader="none"/>
        </w:tabs>
        <w:spacing w:line="240" w:lineRule="auto" w:before="15" w:after="0"/>
        <w:ind w:left="1866" w:right="0" w:hanging="360"/>
        <w:jc w:val="left"/>
        <w:rPr>
          <w:sz w:val="20"/>
        </w:rPr>
      </w:pPr>
      <w:r>
        <w:rPr>
          <w:spacing w:val="-3"/>
          <w:sz w:val="20"/>
        </w:rPr>
        <w:t>base </w:t>
      </w:r>
      <w:r>
        <w:rPr>
          <w:sz w:val="20"/>
        </w:rPr>
        <w:t>metal</w:t>
      </w:r>
      <w:r>
        <w:rPr>
          <w:spacing w:val="3"/>
          <w:sz w:val="20"/>
        </w:rPr>
        <w:t> </w:t>
      </w:r>
      <w:r>
        <w:rPr>
          <w:sz w:val="20"/>
        </w:rPr>
        <w:t>goods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  <w:tab w:pos="1867" w:val="left" w:leader="none"/>
        </w:tabs>
        <w:spacing w:line="240" w:lineRule="auto" w:before="14" w:after="0"/>
        <w:ind w:left="1866" w:right="0" w:hanging="361"/>
        <w:jc w:val="left"/>
        <w:rPr>
          <w:sz w:val="20"/>
        </w:rPr>
      </w:pPr>
      <w:r>
        <w:rPr>
          <w:sz w:val="20"/>
        </w:rPr>
        <w:t>machinery and mechanical</w:t>
      </w:r>
      <w:r>
        <w:rPr>
          <w:spacing w:val="-4"/>
          <w:sz w:val="20"/>
        </w:rPr>
        <w:t> </w:t>
      </w:r>
      <w:r>
        <w:rPr>
          <w:sz w:val="20"/>
        </w:rPr>
        <w:t>appliances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  <w:tab w:pos="1867" w:val="left" w:leader="none"/>
        </w:tabs>
        <w:spacing w:line="240" w:lineRule="auto" w:before="15" w:after="0"/>
        <w:ind w:left="1866" w:right="0" w:hanging="361"/>
        <w:jc w:val="left"/>
        <w:rPr>
          <w:sz w:val="20"/>
        </w:rPr>
      </w:pPr>
      <w:r>
        <w:rPr>
          <w:sz w:val="20"/>
        </w:rPr>
        <w:t>electrical</w:t>
      </w:r>
      <w:r>
        <w:rPr>
          <w:spacing w:val="4"/>
          <w:sz w:val="20"/>
        </w:rPr>
        <w:t> </w:t>
      </w:r>
      <w:r>
        <w:rPr>
          <w:sz w:val="20"/>
        </w:rPr>
        <w:t>equipment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  <w:tab w:pos="1867" w:val="left" w:leader="none"/>
        </w:tabs>
        <w:spacing w:line="240" w:lineRule="auto" w:before="10" w:after="0"/>
        <w:ind w:left="1866" w:right="0" w:hanging="361"/>
        <w:jc w:val="left"/>
        <w:rPr>
          <w:sz w:val="20"/>
        </w:rPr>
      </w:pPr>
      <w:r>
        <w:rPr>
          <w:sz w:val="20"/>
        </w:rPr>
        <w:t>sound recorders and</w:t>
      </w:r>
      <w:r>
        <w:rPr>
          <w:spacing w:val="-4"/>
          <w:sz w:val="20"/>
        </w:rPr>
        <w:t> </w:t>
      </w:r>
      <w:r>
        <w:rPr>
          <w:sz w:val="20"/>
        </w:rPr>
        <w:t>reproducers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  <w:tab w:pos="1867" w:val="left" w:leader="none"/>
        </w:tabs>
        <w:spacing w:line="240" w:lineRule="auto" w:before="15" w:after="0"/>
        <w:ind w:left="1866" w:right="0" w:hanging="361"/>
        <w:jc w:val="left"/>
        <w:rPr>
          <w:sz w:val="20"/>
        </w:rPr>
      </w:pPr>
      <w:r>
        <w:rPr>
          <w:sz w:val="20"/>
        </w:rPr>
        <w:t>motor</w:t>
      </w:r>
      <w:r>
        <w:rPr>
          <w:spacing w:val="-3"/>
          <w:sz w:val="20"/>
        </w:rPr>
        <w:t> </w:t>
      </w:r>
      <w:r>
        <w:rPr>
          <w:sz w:val="20"/>
        </w:rPr>
        <w:t>vehicles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  <w:tab w:pos="1867" w:val="left" w:leader="none"/>
        </w:tabs>
        <w:spacing w:line="240" w:lineRule="auto" w:before="15" w:after="0"/>
        <w:ind w:left="1866" w:right="0" w:hanging="361"/>
        <w:jc w:val="left"/>
        <w:rPr>
          <w:sz w:val="20"/>
        </w:rPr>
      </w:pPr>
      <w:r>
        <w:rPr>
          <w:sz w:val="20"/>
        </w:rPr>
        <w:t>orthopaedic footwear</w:t>
      </w:r>
      <w:r>
        <w:rPr>
          <w:spacing w:val="-2"/>
          <w:sz w:val="20"/>
        </w:rPr>
        <w:t> </w:t>
      </w:r>
      <w:r>
        <w:rPr>
          <w:sz w:val="20"/>
        </w:rPr>
        <w:t>goods</w:t>
      </w:r>
    </w:p>
    <w:p>
      <w:pPr>
        <w:pStyle w:val="ListParagraph"/>
        <w:numPr>
          <w:ilvl w:val="0"/>
          <w:numId w:val="1"/>
        </w:numPr>
        <w:tabs>
          <w:tab w:pos="1866" w:val="left" w:leader="none"/>
          <w:tab w:pos="1867" w:val="left" w:leader="none"/>
        </w:tabs>
        <w:spacing w:line="240" w:lineRule="auto" w:before="10" w:after="0"/>
        <w:ind w:left="1866" w:right="0" w:hanging="361"/>
        <w:jc w:val="left"/>
        <w:rPr>
          <w:sz w:val="20"/>
        </w:rPr>
      </w:pPr>
      <w:r>
        <w:rPr>
          <w:sz w:val="20"/>
        </w:rPr>
        <w:t>measuring, checking or precision instruments and</w:t>
      </w:r>
      <w:r>
        <w:rPr>
          <w:spacing w:val="-14"/>
          <w:sz w:val="20"/>
        </w:rPr>
        <w:t> </w:t>
      </w:r>
      <w:r>
        <w:rPr>
          <w:sz w:val="20"/>
        </w:rPr>
        <w:t>apparatus</w:t>
      </w:r>
    </w:p>
    <w:p>
      <w:pPr>
        <w:pStyle w:val="ListParagraph"/>
        <w:numPr>
          <w:ilvl w:val="0"/>
          <w:numId w:val="1"/>
        </w:numPr>
        <w:tabs>
          <w:tab w:pos="1865" w:val="left" w:leader="none"/>
          <w:tab w:pos="1866" w:val="left" w:leader="none"/>
        </w:tabs>
        <w:spacing w:line="240" w:lineRule="auto" w:before="14" w:after="0"/>
        <w:ind w:left="1865" w:right="0" w:hanging="360"/>
        <w:jc w:val="left"/>
        <w:rPr>
          <w:sz w:val="20"/>
        </w:rPr>
      </w:pPr>
      <w:r>
        <w:rPr>
          <w:sz w:val="20"/>
        </w:rPr>
        <w:t>seats for motor vehicles and their</w:t>
      </w:r>
      <w:r>
        <w:rPr>
          <w:spacing w:val="-25"/>
          <w:sz w:val="20"/>
        </w:rPr>
        <w:t> </w:t>
      </w:r>
      <w:r>
        <w:rPr>
          <w:sz w:val="20"/>
        </w:rPr>
        <w:t>parts</w:t>
      </w:r>
    </w:p>
    <w:p>
      <w:pPr>
        <w:pStyle w:val="ListParagraph"/>
        <w:numPr>
          <w:ilvl w:val="0"/>
          <w:numId w:val="1"/>
        </w:numPr>
        <w:tabs>
          <w:tab w:pos="1865" w:val="left" w:leader="none"/>
          <w:tab w:pos="1866" w:val="left" w:leader="none"/>
        </w:tabs>
        <w:spacing w:line="240" w:lineRule="auto" w:before="15" w:after="0"/>
        <w:ind w:left="1865" w:right="0" w:hanging="361"/>
        <w:jc w:val="left"/>
        <w:rPr>
          <w:sz w:val="20"/>
        </w:rPr>
      </w:pPr>
      <w:r>
        <w:rPr>
          <w:sz w:val="20"/>
        </w:rPr>
        <w:t>other miscellaneous manufactured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goods.</w:t>
      </w:r>
    </w:p>
    <w:p>
      <w:pPr>
        <w:pStyle w:val="BodyText"/>
      </w:pPr>
    </w:p>
    <w:p>
      <w:pPr>
        <w:spacing w:line="235" w:lineRule="auto" w:before="0"/>
        <w:ind w:left="1145" w:right="861" w:firstLine="0"/>
        <w:jc w:val="left"/>
        <w:rPr>
          <w:sz w:val="20"/>
        </w:rPr>
      </w:pPr>
      <w:r>
        <w:rPr>
          <w:sz w:val="20"/>
        </w:rPr>
        <w:t>Note: phasing rates do not affect the import restrictions and border controls for prohibited goods as regulated by the </w:t>
      </w:r>
      <w:r>
        <w:rPr>
          <w:i/>
          <w:sz w:val="20"/>
        </w:rPr>
        <w:t>Customs (Prohibited Imports) Regulations 1956</w:t>
      </w:r>
      <w:r>
        <w:rPr>
          <w:sz w:val="20"/>
        </w:rPr>
        <w:t>.</w:t>
      </w:r>
    </w:p>
    <w:p>
      <w:pPr>
        <w:pStyle w:val="BodyText"/>
        <w:spacing w:before="2"/>
      </w:pPr>
    </w:p>
    <w:p>
      <w:pPr>
        <w:pStyle w:val="BodyText"/>
        <w:ind w:left="1146" w:right="750" w:hanging="1"/>
      </w:pPr>
      <w:r>
        <w:rPr/>
        <w:t>A full list of affected tariff subheadings is contained in Schedule 11 (Japanese Originating Goods) of the </w:t>
      </w:r>
      <w:r>
        <w:rPr>
          <w:i/>
        </w:rPr>
        <w:t>Customs Tariff Act 1995</w:t>
      </w:r>
      <w:r>
        <w:rPr/>
        <w:t>. Refer to webpage:</w:t>
      </w:r>
    </w:p>
    <w:p>
      <w:pPr>
        <w:pStyle w:val="BodyText"/>
        <w:spacing w:before="2"/>
        <w:ind w:left="1147" w:right="832"/>
        <w:rPr>
          <w:rFonts w:ascii="Times New Roman"/>
        </w:rPr>
      </w:pPr>
      <w:hyperlink r:id="rId6">
        <w:r>
          <w:rPr>
            <w:rFonts w:ascii="Times New Roman"/>
            <w:color w:val="0000FF"/>
            <w:u w:val="single" w:color="0000FF"/>
          </w:rPr>
          <w:t>http://www.border.gov.au/Busi/cargo-support-trade-and-goods/importing-goods/tariff-classification-of-goods/current-tariff-</w:t>
        </w:r>
      </w:hyperlink>
      <w:r>
        <w:rPr>
          <w:rFonts w:ascii="Times New Roman"/>
          <w:color w:val="0000FF"/>
        </w:rPr>
        <w:t> </w:t>
      </w:r>
      <w:hyperlink r:id="rId6">
        <w:r>
          <w:rPr>
            <w:rFonts w:ascii="Times New Roman"/>
            <w:color w:val="0000FF"/>
            <w:u w:val="single" w:color="0000FF"/>
          </w:rPr>
          <w:t>classification/schedule-11</w:t>
        </w:r>
      </w:hyperlink>
    </w:p>
    <w:p>
      <w:pPr>
        <w:pStyle w:val="BodyText"/>
        <w:spacing w:before="2"/>
        <w:rPr>
          <w:rFonts w:ascii="Times New Roman"/>
          <w:sz w:val="12"/>
        </w:rPr>
      </w:pPr>
    </w:p>
    <w:p>
      <w:pPr>
        <w:pStyle w:val="BodyText"/>
        <w:spacing w:line="480" w:lineRule="auto" w:before="96"/>
        <w:ind w:left="1147" w:right="1548"/>
      </w:pPr>
      <w:r>
        <w:rPr/>
        <w:t>Relevant changes to the Integrated Cargo System have been made and will commence on 1 April 2017. </w:t>
      </w:r>
      <w:r>
        <w:rPr>
          <w:u w:val="single"/>
        </w:rPr>
        <w:t>Enquiries</w:t>
      </w:r>
    </w:p>
    <w:p>
      <w:pPr>
        <w:pStyle w:val="BodyText"/>
        <w:ind w:left="1147" w:right="7487" w:hanging="1"/>
      </w:pPr>
      <w:r>
        <w:rPr/>
        <w:t>Assistant Director – Tariff Legislation Trade Policy</w:t>
      </w:r>
    </w:p>
    <w:p>
      <w:pPr>
        <w:pStyle w:val="BodyText"/>
        <w:ind w:left="1147" w:right="6374"/>
      </w:pPr>
      <w:r>
        <w:rPr/>
        <w:t>Department of Immigration and Border Protection 5 Chan Street</w:t>
      </w:r>
    </w:p>
    <w:p>
      <w:pPr>
        <w:pStyle w:val="BodyText"/>
        <w:ind w:left="1147"/>
      </w:pPr>
      <w:r>
        <w:rPr/>
        <w:t>BELCONNEN ACT</w:t>
      </w:r>
      <w:r>
        <w:rPr>
          <w:spacing w:val="52"/>
        </w:rPr>
        <w:t> </w:t>
      </w:r>
      <w:r>
        <w:rPr/>
        <w:t>2616</w:t>
      </w:r>
    </w:p>
    <w:p>
      <w:pPr>
        <w:pStyle w:val="BodyText"/>
        <w:ind w:left="1147"/>
      </w:pPr>
      <w:r>
        <w:rPr/>
        <w:t>Email: </w:t>
      </w:r>
      <w:hyperlink r:id="rId7">
        <w:r>
          <w:rPr>
            <w:color w:val="0000FF"/>
            <w:u w:val="single" w:color="0000FF"/>
          </w:rPr>
          <w:t>trade.policy@border.gov.au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147"/>
      </w:pPr>
      <w:r>
        <w:rPr/>
        <w:t>(signed)</w:t>
      </w:r>
    </w:p>
    <w:p>
      <w:pPr>
        <w:pStyle w:val="BodyText"/>
        <w:spacing w:line="228" w:lineRule="exact" w:before="1"/>
        <w:ind w:left="1147"/>
      </w:pPr>
      <w:r>
        <w:rPr/>
        <w:t>Jane McClintock</w:t>
      </w:r>
    </w:p>
    <w:p>
      <w:pPr>
        <w:pStyle w:val="BodyText"/>
        <w:spacing w:line="228" w:lineRule="exact"/>
        <w:ind w:left="1147"/>
      </w:pPr>
      <w:r>
        <w:rPr/>
        <w:t>A/g Assistant Secretary</w:t>
      </w:r>
    </w:p>
    <w:p>
      <w:pPr>
        <w:pStyle w:val="BodyText"/>
        <w:ind w:left="1147" w:right="6563"/>
      </w:pPr>
      <w:r>
        <w:rPr/>
        <w:t>Traveller, Customs and Industry Policy Division 30</w:t>
      </w:r>
      <w:r>
        <w:rPr>
          <w:vertAlign w:val="superscript"/>
        </w:rPr>
        <w:t>th</w:t>
      </w:r>
      <w:r>
        <w:rPr>
          <w:vertAlign w:val="baseline"/>
        </w:rPr>
        <w:t> March 2017</w:t>
      </w:r>
    </w:p>
    <w:sectPr>
      <w:type w:val="continuous"/>
      <w:pgSz w:w="11910" w:h="16840"/>
      <w:pgMar w:top="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67" w:hanging="360"/>
      </w:pPr>
      <w:rPr>
        <w:rFonts w:hint="default" w:ascii="Arial" w:hAnsi="Arial" w:eastAsia="Arial" w:cs="Arial"/>
        <w:w w:val="132"/>
        <w:sz w:val="20"/>
        <w:szCs w:val="20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5284" w:right="1563" w:hanging="3711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spacing w:before="15"/>
      <w:ind w:left="1866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border.gov.au/Busi/cargo-support-trade-and-goods/importing-goods/tariff-classification-of-goods/current-tariff-classification/schedule-11" TargetMode="External"/><Relationship Id="rId7" Type="http://schemas.openxmlformats.org/officeDocument/2006/relationships/hyperlink" Target="mailto:trade.policy@border.gov.au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JAEPA; Japen; Australia; Economic; Partnership; Agreement; 1 April 2017; Phasing; Rates; Customs; Duties; Reductions</cp:keywords>
  <dc:subject>JAEPA Phasing Rate Reductions 1 April 2017</dc:subject>
  <dc:title>DIBP Notice 2017/07</dc:title>
  <dcterms:created xsi:type="dcterms:W3CDTF">2020-12-09T22:44:25Z</dcterms:created>
  <dcterms:modified xsi:type="dcterms:W3CDTF">2020-12-09T22:44:25Z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2017-03-31T00:00:00Z</vt:filetime>
  </property>
  <property fmtid="{D5CDD505-2E9C-101B-9397-08002B2CF9AE}" pid="3" name="Creator">
    <vt:lpwstr>Acrobat PDFMaker 10.0 for Word</vt:lpwstr>
  </property>
  <property fmtid="{D5CDD505-2E9C-101B-9397-08002B2CF9AE}" pid="4" name="LastSaved">
    <vt:filetime>2020-12-09T00:00:00Z</vt:filetime>
  </property>
</Properties>
</file>