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rPr>
      </w:pPr>
    </w:p>
    <w:p>
      <w:pPr>
        <w:pStyle w:val="Heading1"/>
        <w:spacing w:line="547" w:lineRule="auto"/>
        <w:ind w:left="5352" w:right="2235" w:hanging="3104"/>
      </w:pPr>
      <w:r>
        <w:rPr/>
        <w:pict>
          <v:rect style="position:absolute;margin-left:63.720001pt;margin-top:42.5979pt;width:467.76pt;height:.48pt;mso-position-horizontal-relative:page;mso-position-vertical-relative:paragraph;z-index:-15787008" filled="true" fillcolor="#000000" stroked="false">
            <v:fill type="solid"/>
            <w10:wrap type="none"/>
          </v:rect>
        </w:pict>
      </w:r>
      <w:r>
        <w:rPr/>
        <w:drawing>
          <wp:anchor distT="0" distB="0" distL="0" distR="0" allowOverlap="1" layoutInCell="1" locked="0" behindDoc="0" simplePos="0" relativeHeight="15729152">
            <wp:simplePos x="0" y="0"/>
            <wp:positionH relativeFrom="page">
              <wp:posOffset>0</wp:posOffset>
            </wp:positionH>
            <wp:positionV relativeFrom="paragraph">
              <wp:posOffset>-1459274</wp:posOffset>
            </wp:positionV>
            <wp:extent cx="7559675" cy="1099583"/>
            <wp:effectExtent l="0" t="0" r="0" b="0"/>
            <wp:wrapNone/>
            <wp:docPr id="1" name="image1.jpeg" descr="Australian Government Department of Immigration and Border Protection logo"/>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59675" cy="1099583"/>
                    </a:xfrm>
                    <a:prstGeom prst="rect">
                      <a:avLst/>
                    </a:prstGeom>
                  </pic:spPr>
                </pic:pic>
              </a:graphicData>
            </a:graphic>
          </wp:anchor>
        </w:drawing>
      </w:r>
      <w:bookmarkStart w:name="DEPARTMENT OF IMMIGRATION AND BORDER PRO" w:id="1"/>
      <w:bookmarkEnd w:id="1"/>
      <w:r>
        <w:rPr>
          <w:b w:val="0"/>
        </w:rPr>
      </w:r>
      <w:r>
        <w:rPr/>
        <w:t>DEPARTMENT OF IMMIGRATION AND BORDER PROTECTION NOTICE</w:t>
      </w:r>
      <w:bookmarkStart w:name="N0. 2017/14" w:id="2"/>
      <w:bookmarkEnd w:id="2"/>
      <w:r>
        <w:rPr/>
      </w:r>
      <w:r>
        <w:rPr/>
        <w:t> N0. 2017/14</w:t>
      </w:r>
    </w:p>
    <w:p>
      <w:pPr>
        <w:spacing w:before="22"/>
        <w:ind w:left="2603" w:right="2603" w:firstLine="0"/>
        <w:jc w:val="center"/>
        <w:rPr>
          <w:b/>
          <w:sz w:val="22"/>
        </w:rPr>
      </w:pPr>
      <w:bookmarkStart w:name="Important reminder about supply chain le" w:id="3"/>
      <w:bookmarkEnd w:id="3"/>
      <w:r>
        <w:rPr/>
      </w:r>
      <w:r>
        <w:rPr>
          <w:b/>
          <w:sz w:val="22"/>
        </w:rPr>
        <w:t>Important reminder about supply chain legislative requirements</w:t>
      </w:r>
    </w:p>
    <w:p>
      <w:pPr>
        <w:pStyle w:val="BodyText"/>
        <w:spacing w:line="264" w:lineRule="auto" w:before="184"/>
        <w:ind w:left="1303" w:right="1303"/>
        <w:jc w:val="both"/>
      </w:pPr>
      <w:r>
        <w:rPr/>
        <w:t>The</w:t>
      </w:r>
      <w:r>
        <w:rPr>
          <w:spacing w:val="-10"/>
        </w:rPr>
        <w:t> </w:t>
      </w:r>
      <w:r>
        <w:rPr/>
        <w:t>Department</w:t>
      </w:r>
      <w:r>
        <w:rPr>
          <w:spacing w:val="-9"/>
        </w:rPr>
        <w:t> </w:t>
      </w:r>
      <w:r>
        <w:rPr/>
        <w:t>of</w:t>
      </w:r>
      <w:r>
        <w:rPr>
          <w:spacing w:val="-6"/>
        </w:rPr>
        <w:t> </w:t>
      </w:r>
      <w:r>
        <w:rPr/>
        <w:t>Immigration</w:t>
      </w:r>
      <w:r>
        <w:rPr>
          <w:spacing w:val="-7"/>
        </w:rPr>
        <w:t> </w:t>
      </w:r>
      <w:r>
        <w:rPr/>
        <w:t>and</w:t>
      </w:r>
      <w:r>
        <w:rPr>
          <w:spacing w:val="-7"/>
        </w:rPr>
        <w:t> </w:t>
      </w:r>
      <w:r>
        <w:rPr/>
        <w:t>Border</w:t>
      </w:r>
      <w:r>
        <w:rPr>
          <w:spacing w:val="-8"/>
        </w:rPr>
        <w:t> </w:t>
      </w:r>
      <w:r>
        <w:rPr/>
        <w:t>Protection</w:t>
      </w:r>
      <w:r>
        <w:rPr>
          <w:spacing w:val="-9"/>
        </w:rPr>
        <w:t> </w:t>
      </w:r>
      <w:r>
        <w:rPr/>
        <w:t>(the</w:t>
      </w:r>
      <w:r>
        <w:rPr>
          <w:spacing w:val="-9"/>
        </w:rPr>
        <w:t> </w:t>
      </w:r>
      <w:r>
        <w:rPr/>
        <w:t>Department)</w:t>
      </w:r>
      <w:r>
        <w:rPr>
          <w:spacing w:val="-9"/>
        </w:rPr>
        <w:t> </w:t>
      </w:r>
      <w:r>
        <w:rPr/>
        <w:t>and</w:t>
      </w:r>
      <w:r>
        <w:rPr>
          <w:spacing w:val="-9"/>
        </w:rPr>
        <w:t> </w:t>
      </w:r>
      <w:r>
        <w:rPr/>
        <w:t>the</w:t>
      </w:r>
      <w:r>
        <w:rPr>
          <w:spacing w:val="-7"/>
        </w:rPr>
        <w:t> </w:t>
      </w:r>
      <w:r>
        <w:rPr/>
        <w:t>Department’s</w:t>
      </w:r>
      <w:r>
        <w:rPr>
          <w:spacing w:val="-7"/>
        </w:rPr>
        <w:t> </w:t>
      </w:r>
      <w:r>
        <w:rPr/>
        <w:t>operational arm, the Australian Border Force (ABF), have a mission to protect Australia’s border and manage the movement of people and goods across it.</w:t>
      </w:r>
    </w:p>
    <w:p>
      <w:pPr>
        <w:pStyle w:val="BodyText"/>
        <w:spacing w:line="266" w:lineRule="auto" w:before="117"/>
        <w:ind w:left="1302" w:right="1302"/>
        <w:jc w:val="both"/>
      </w:pPr>
      <w:r>
        <w:rPr/>
        <w:t>This mission is underpinned by legislation, including the </w:t>
      </w:r>
      <w:r>
        <w:rPr>
          <w:i/>
        </w:rPr>
        <w:t>Customs Act 1901 </w:t>
      </w:r>
      <w:r>
        <w:rPr/>
        <w:t>(the Act) and the Customs Regulation 2015 (the Regulation). Organisations involved in supply chain services must ensure that their activities are compliant with the provisions of these and other border related laws.</w:t>
      </w:r>
    </w:p>
    <w:p>
      <w:pPr>
        <w:pStyle w:val="BodyText"/>
        <w:spacing w:line="264" w:lineRule="auto" w:before="117"/>
        <w:ind w:left="1302" w:right="1305"/>
        <w:jc w:val="both"/>
      </w:pPr>
      <w:r>
        <w:rPr/>
        <w:t>In</w:t>
      </w:r>
      <w:r>
        <w:rPr>
          <w:spacing w:val="-11"/>
        </w:rPr>
        <w:t> </w:t>
      </w:r>
      <w:r>
        <w:rPr/>
        <w:t>accordance</w:t>
      </w:r>
      <w:r>
        <w:rPr>
          <w:spacing w:val="-9"/>
        </w:rPr>
        <w:t> </w:t>
      </w:r>
      <w:r>
        <w:rPr/>
        <w:t>with</w:t>
      </w:r>
      <w:r>
        <w:rPr>
          <w:spacing w:val="-10"/>
        </w:rPr>
        <w:t> </w:t>
      </w:r>
      <w:r>
        <w:rPr/>
        <w:t>section</w:t>
      </w:r>
      <w:r>
        <w:rPr>
          <w:spacing w:val="-9"/>
        </w:rPr>
        <w:t> </w:t>
      </w:r>
      <w:r>
        <w:rPr/>
        <w:t>30</w:t>
      </w:r>
      <w:r>
        <w:rPr>
          <w:spacing w:val="-10"/>
        </w:rPr>
        <w:t> </w:t>
      </w:r>
      <w:r>
        <w:rPr/>
        <w:t>of</w:t>
      </w:r>
      <w:r>
        <w:rPr>
          <w:spacing w:val="-9"/>
        </w:rPr>
        <w:t> </w:t>
      </w:r>
      <w:r>
        <w:rPr/>
        <w:t>the</w:t>
      </w:r>
      <w:r>
        <w:rPr>
          <w:spacing w:val="-8"/>
        </w:rPr>
        <w:t> </w:t>
      </w:r>
      <w:r>
        <w:rPr/>
        <w:t>Act,</w:t>
      </w:r>
      <w:r>
        <w:rPr>
          <w:spacing w:val="-11"/>
        </w:rPr>
        <w:t> </w:t>
      </w:r>
      <w:r>
        <w:rPr/>
        <w:t>all</w:t>
      </w:r>
      <w:r>
        <w:rPr>
          <w:spacing w:val="-11"/>
        </w:rPr>
        <w:t> </w:t>
      </w:r>
      <w:r>
        <w:rPr/>
        <w:t>goods</w:t>
      </w:r>
      <w:r>
        <w:rPr>
          <w:spacing w:val="-10"/>
        </w:rPr>
        <w:t> </w:t>
      </w:r>
      <w:r>
        <w:rPr/>
        <w:t>shall</w:t>
      </w:r>
      <w:r>
        <w:rPr>
          <w:spacing w:val="-9"/>
        </w:rPr>
        <w:t> </w:t>
      </w:r>
      <w:r>
        <w:rPr/>
        <w:t>be</w:t>
      </w:r>
      <w:r>
        <w:rPr>
          <w:spacing w:val="-11"/>
        </w:rPr>
        <w:t> </w:t>
      </w:r>
      <w:r>
        <w:rPr/>
        <w:t>subject</w:t>
      </w:r>
      <w:r>
        <w:rPr>
          <w:spacing w:val="-10"/>
        </w:rPr>
        <w:t> </w:t>
      </w:r>
      <w:r>
        <w:rPr/>
        <w:t>to</w:t>
      </w:r>
      <w:r>
        <w:rPr>
          <w:spacing w:val="-11"/>
        </w:rPr>
        <w:t> </w:t>
      </w:r>
      <w:r>
        <w:rPr/>
        <w:t>customs</w:t>
      </w:r>
      <w:r>
        <w:rPr>
          <w:spacing w:val="-9"/>
        </w:rPr>
        <w:t> </w:t>
      </w:r>
      <w:r>
        <w:rPr/>
        <w:t>control</w:t>
      </w:r>
      <w:r>
        <w:rPr>
          <w:spacing w:val="-12"/>
        </w:rPr>
        <w:t> </w:t>
      </w:r>
      <w:r>
        <w:rPr/>
        <w:t>from</w:t>
      </w:r>
      <w:r>
        <w:rPr>
          <w:spacing w:val="-7"/>
        </w:rPr>
        <w:t> </w:t>
      </w:r>
      <w:r>
        <w:rPr/>
        <w:t>the</w:t>
      </w:r>
      <w:r>
        <w:rPr>
          <w:spacing w:val="-10"/>
        </w:rPr>
        <w:t> </w:t>
      </w:r>
      <w:r>
        <w:rPr/>
        <w:t>time</w:t>
      </w:r>
      <w:r>
        <w:rPr>
          <w:spacing w:val="-11"/>
        </w:rPr>
        <w:t> </w:t>
      </w:r>
      <w:r>
        <w:rPr/>
        <w:t>of</w:t>
      </w:r>
      <w:r>
        <w:rPr>
          <w:spacing w:val="-8"/>
        </w:rPr>
        <w:t> </w:t>
      </w:r>
      <w:r>
        <w:rPr/>
        <w:t>their importation until they are either delivered into home consumption in accordance with an authority to deal (ATD), or they are exported to a place outside</w:t>
      </w:r>
      <w:r>
        <w:rPr>
          <w:spacing w:val="-6"/>
        </w:rPr>
        <w:t> </w:t>
      </w:r>
      <w:r>
        <w:rPr/>
        <w:t>Australia.</w:t>
      </w:r>
    </w:p>
    <w:p>
      <w:pPr>
        <w:pStyle w:val="BodyText"/>
        <w:spacing w:line="264" w:lineRule="auto" w:before="120"/>
        <w:ind w:left="1302" w:right="1519"/>
        <w:jc w:val="both"/>
        <w:rPr>
          <w:i/>
        </w:rPr>
      </w:pPr>
      <w:r>
        <w:rPr/>
        <w:t>It is an offence under section 33 of the Act for a person to move, alter or interfere with goods subject to customs control without authorisation. The Department has developed a number of webpages to assist organisations in complying with reporting obligations as outlined in the Act</w:t>
      </w:r>
      <w:r>
        <w:rPr>
          <w:i/>
        </w:rPr>
        <w:t>.</w:t>
      </w:r>
    </w:p>
    <w:p>
      <w:pPr>
        <w:pStyle w:val="Heading2"/>
        <w:spacing w:before="117"/>
        <w:ind w:left="1302"/>
      </w:pPr>
      <w:r>
        <w:rPr/>
        <w:t>Depots</w:t>
      </w:r>
    </w:p>
    <w:p>
      <w:pPr>
        <w:pStyle w:val="BodyText"/>
        <w:spacing w:line="264" w:lineRule="auto" w:before="144"/>
        <w:ind w:left="1302" w:right="1561"/>
      </w:pPr>
      <w:r>
        <w:rPr/>
        <w:t>Depots are licensed to operate by the Department under section 77G of the Act (s77G depot) and undertake activities such as receiving, deconsolidating, packing, delivering and short term storing of import and export cargo. Their principal role is to report details of any cargo subject to customs control received into, unpacked at, and leaving their establishment. It is important that depot licence holders familiarise themselves with their obligations and the processes used to communicate with the Department and receive information about cargo subject to customs control.</w:t>
      </w:r>
    </w:p>
    <w:p>
      <w:pPr>
        <w:pStyle w:val="Heading2"/>
        <w:spacing w:before="179"/>
        <w:ind w:left="1302"/>
      </w:pPr>
      <w:bookmarkStart w:name="Outturn Reporting" w:id="4"/>
      <w:bookmarkEnd w:id="4"/>
      <w:r>
        <w:rPr>
          <w:b w:val="0"/>
        </w:rPr>
      </w:r>
      <w:r>
        <w:rPr/>
        <w:t>Outturn Reporting</w:t>
      </w:r>
    </w:p>
    <w:p>
      <w:pPr>
        <w:pStyle w:val="BodyText"/>
        <w:spacing w:line="264" w:lineRule="auto" w:before="123"/>
        <w:ind w:left="1302" w:right="1438"/>
      </w:pPr>
      <w:r>
        <w:rPr/>
        <w:t>Outturn reports are used to report to the Department any variations between the reported cargo and the cargo that was actually unloaded from the ship or aircraft, including surplus or shortlanded cargo.</w:t>
      </w:r>
    </w:p>
    <w:p>
      <w:pPr>
        <w:pStyle w:val="BodyText"/>
        <w:spacing w:before="120"/>
        <w:ind w:left="1302"/>
      </w:pPr>
      <w:r>
        <w:rPr/>
        <w:t>For more information, please refer to the </w:t>
      </w:r>
      <w:hyperlink r:id="rId7">
        <w:r>
          <w:rPr>
            <w:color w:val="082244"/>
            <w:u w:val="single" w:color="082244"/>
          </w:rPr>
          <w:t>Depot outturn reporting obligations</w:t>
        </w:r>
        <w:r>
          <w:rPr>
            <w:color w:val="082244"/>
          </w:rPr>
          <w:t> </w:t>
        </w:r>
      </w:hyperlink>
      <w:r>
        <w:rPr/>
        <w:t>factsheet.</w:t>
      </w:r>
    </w:p>
    <w:p>
      <w:pPr>
        <w:pStyle w:val="BodyText"/>
        <w:spacing w:before="4"/>
        <w:rPr>
          <w:sz w:val="17"/>
        </w:rPr>
      </w:pPr>
    </w:p>
    <w:p>
      <w:pPr>
        <w:pStyle w:val="Heading2"/>
      </w:pPr>
      <w:bookmarkStart w:name="Underbond Movements" w:id="5"/>
      <w:bookmarkEnd w:id="5"/>
      <w:r>
        <w:rPr>
          <w:b w:val="0"/>
        </w:rPr>
      </w:r>
      <w:r>
        <w:rPr/>
        <w:t>Underbond Movements</w:t>
      </w:r>
    </w:p>
    <w:p>
      <w:pPr>
        <w:pStyle w:val="BodyText"/>
        <w:spacing w:before="123"/>
        <w:ind w:left="1303" w:right="1415"/>
      </w:pPr>
      <w:r>
        <w:rPr/>
        <w:t>An authorised underbond movement allows the movement of goods subject to customs control between licensed establishments (other than for warehousing).</w:t>
      </w:r>
    </w:p>
    <w:p>
      <w:pPr>
        <w:pStyle w:val="BodyText"/>
        <w:spacing w:before="119"/>
        <w:ind w:left="1303"/>
      </w:pPr>
      <w:r>
        <w:rPr/>
        <w:t>For more information, please refer to the </w:t>
      </w:r>
      <w:hyperlink r:id="rId7">
        <w:r>
          <w:rPr>
            <w:color w:val="082244"/>
            <w:u w:val="single" w:color="082244"/>
          </w:rPr>
          <w:t>Correct use of underbond movements</w:t>
        </w:r>
        <w:r>
          <w:rPr>
            <w:color w:val="082244"/>
          </w:rPr>
          <w:t> </w:t>
        </w:r>
      </w:hyperlink>
      <w:r>
        <w:rPr/>
        <w:t>factsheet.</w:t>
      </w:r>
    </w:p>
    <w:p>
      <w:pPr>
        <w:pStyle w:val="BodyText"/>
        <w:spacing w:before="6"/>
        <w:rPr>
          <w:sz w:val="17"/>
        </w:rPr>
      </w:pPr>
    </w:p>
    <w:p>
      <w:pPr>
        <w:pStyle w:val="Heading2"/>
      </w:pPr>
      <w:bookmarkStart w:name="Time up Goods" w:id="6"/>
      <w:bookmarkEnd w:id="6"/>
      <w:r>
        <w:rPr>
          <w:b w:val="0"/>
        </w:rPr>
      </w:r>
      <w:r>
        <w:rPr/>
        <w:t>Time up Goods</w:t>
      </w:r>
    </w:p>
    <w:p>
      <w:pPr>
        <w:pStyle w:val="BodyText"/>
        <w:spacing w:line="264" w:lineRule="auto" w:before="123"/>
        <w:ind w:left="1303" w:right="1703"/>
      </w:pPr>
      <w:r>
        <w:rPr/>
        <w:t>Cargo received at a s77G depot can only be stored in that depot until the end of the following month. After this time has lapsed, the cargo is referred to as ‘time up goods’.</w:t>
      </w:r>
    </w:p>
    <w:p>
      <w:pPr>
        <w:pStyle w:val="BodyText"/>
        <w:spacing w:before="118"/>
        <w:ind w:left="1303"/>
      </w:pPr>
      <w:r>
        <w:rPr/>
        <w:t>For more information, please refer to the </w:t>
      </w:r>
      <w:hyperlink r:id="rId7">
        <w:r>
          <w:rPr>
            <w:color w:val="082244"/>
            <w:u w:val="single" w:color="082244"/>
          </w:rPr>
          <w:t>Time up goods</w:t>
        </w:r>
        <w:r>
          <w:rPr>
            <w:color w:val="082244"/>
          </w:rPr>
          <w:t> </w:t>
        </w:r>
      </w:hyperlink>
      <w:r>
        <w:rPr/>
        <w:t>factsheet.</w:t>
      </w:r>
    </w:p>
    <w:p>
      <w:pPr>
        <w:spacing w:after="0"/>
        <w:sectPr>
          <w:footerReference w:type="default" r:id="rId5"/>
          <w:type w:val="continuous"/>
          <w:pgSz w:w="11910" w:h="16840"/>
          <w:pgMar w:footer="621" w:top="700" w:bottom="820" w:left="0" w:right="0"/>
          <w:pgNumType w:start="1"/>
        </w:sectPr>
      </w:pPr>
    </w:p>
    <w:p>
      <w:pPr>
        <w:pStyle w:val="Heading2"/>
        <w:spacing w:before="81"/>
      </w:pPr>
      <w:r>
        <w:rPr/>
        <w:t>Record Keeping – Proof of Delivery</w:t>
      </w:r>
    </w:p>
    <w:p>
      <w:pPr>
        <w:pStyle w:val="BodyText"/>
        <w:spacing w:line="264" w:lineRule="auto" w:before="147"/>
        <w:ind w:left="1303" w:right="1293"/>
      </w:pPr>
      <w:r>
        <w:rPr/>
        <w:t>A principal role of depots is to report cargo movements subject to customs control for their establishment. Records must be maintained and provide a clear audit trail of all incoming and outgoing goods.</w:t>
      </w:r>
    </w:p>
    <w:p>
      <w:pPr>
        <w:pStyle w:val="BodyText"/>
        <w:spacing w:before="118"/>
        <w:ind w:left="1303"/>
      </w:pPr>
      <w:r>
        <w:rPr/>
        <w:t>For more information, please refer to the </w:t>
      </w:r>
      <w:hyperlink r:id="rId7">
        <w:r>
          <w:rPr>
            <w:color w:val="082244"/>
            <w:u w:val="single" w:color="082244"/>
          </w:rPr>
          <w:t>Record keeping – proof of delivery</w:t>
        </w:r>
        <w:r>
          <w:rPr>
            <w:color w:val="082244"/>
          </w:rPr>
          <w:t> </w:t>
        </w:r>
      </w:hyperlink>
      <w:r>
        <w:rPr/>
        <w:t>factsheet.</w:t>
      </w:r>
    </w:p>
    <w:p>
      <w:pPr>
        <w:pStyle w:val="BodyText"/>
        <w:spacing w:before="6"/>
        <w:rPr>
          <w:sz w:val="17"/>
        </w:rPr>
      </w:pPr>
    </w:p>
    <w:p>
      <w:pPr>
        <w:pStyle w:val="Heading2"/>
      </w:pPr>
      <w:bookmarkStart w:name="Warehouse Declarations (N20)" w:id="7"/>
      <w:bookmarkEnd w:id="7"/>
      <w:r>
        <w:rPr>
          <w:b w:val="0"/>
        </w:rPr>
      </w:r>
      <w:r>
        <w:rPr/>
        <w:t>Warehouse Declarations (N20)</w:t>
      </w:r>
    </w:p>
    <w:p>
      <w:pPr>
        <w:pStyle w:val="BodyText"/>
        <w:spacing w:line="264" w:lineRule="auto" w:before="123"/>
        <w:ind w:left="1303" w:right="1381"/>
      </w:pPr>
      <w:r>
        <w:rPr/>
        <w:t>Goods that are being entered for warehousing must move via an approved warehouse declaration into a warehouse licensed under section 79 of the Act.</w:t>
      </w:r>
    </w:p>
    <w:p>
      <w:pPr>
        <w:pStyle w:val="BodyText"/>
        <w:spacing w:before="121"/>
        <w:ind w:left="1303"/>
      </w:pPr>
      <w:r>
        <w:rPr/>
        <w:t>For more information, please refer to the </w:t>
      </w:r>
      <w:hyperlink r:id="rId7">
        <w:r>
          <w:rPr>
            <w:color w:val="082244"/>
            <w:u w:val="single" w:color="082244"/>
          </w:rPr>
          <w:t>Correct use of warehouse declarations (N20)</w:t>
        </w:r>
        <w:r>
          <w:rPr>
            <w:color w:val="082244"/>
          </w:rPr>
          <w:t> </w:t>
        </w:r>
      </w:hyperlink>
      <w:r>
        <w:rPr/>
        <w:t>factsheet.</w:t>
      </w:r>
    </w:p>
    <w:p>
      <w:pPr>
        <w:pStyle w:val="BodyText"/>
        <w:spacing w:before="4"/>
        <w:rPr>
          <w:sz w:val="17"/>
        </w:rPr>
      </w:pPr>
    </w:p>
    <w:p>
      <w:pPr>
        <w:pStyle w:val="Heading2"/>
        <w:jc w:val="both"/>
      </w:pPr>
      <w:bookmarkStart w:name="Understanding the Customs Act Infringeme" w:id="8"/>
      <w:bookmarkEnd w:id="8"/>
      <w:r>
        <w:rPr>
          <w:b w:val="0"/>
        </w:rPr>
      </w:r>
      <w:r>
        <w:rPr/>
        <w:t>Understanding the Customs Act Infringement Notice Scheme</w:t>
      </w:r>
    </w:p>
    <w:p>
      <w:pPr>
        <w:pStyle w:val="BodyText"/>
        <w:spacing w:line="264" w:lineRule="auto" w:before="123"/>
        <w:ind w:left="1303" w:right="1305"/>
        <w:jc w:val="both"/>
      </w:pPr>
      <w:r>
        <w:rPr/>
        <w:t>Where</w:t>
      </w:r>
      <w:r>
        <w:rPr>
          <w:spacing w:val="-8"/>
        </w:rPr>
        <w:t> </w:t>
      </w:r>
      <w:r>
        <w:rPr/>
        <w:t>an</w:t>
      </w:r>
      <w:r>
        <w:rPr>
          <w:spacing w:val="-8"/>
        </w:rPr>
        <w:t> </w:t>
      </w:r>
      <w:r>
        <w:rPr/>
        <w:t>alleged</w:t>
      </w:r>
      <w:r>
        <w:rPr>
          <w:spacing w:val="-6"/>
        </w:rPr>
        <w:t> </w:t>
      </w:r>
      <w:r>
        <w:rPr/>
        <w:t>breach</w:t>
      </w:r>
      <w:r>
        <w:rPr>
          <w:spacing w:val="-6"/>
        </w:rPr>
        <w:t> </w:t>
      </w:r>
      <w:r>
        <w:rPr/>
        <w:t>has</w:t>
      </w:r>
      <w:r>
        <w:rPr>
          <w:spacing w:val="-6"/>
        </w:rPr>
        <w:t> </w:t>
      </w:r>
      <w:r>
        <w:rPr/>
        <w:t>occurred,</w:t>
      </w:r>
      <w:r>
        <w:rPr>
          <w:spacing w:val="-8"/>
        </w:rPr>
        <w:t> </w:t>
      </w:r>
      <w:r>
        <w:rPr/>
        <w:t>the</w:t>
      </w:r>
      <w:r>
        <w:rPr>
          <w:spacing w:val="-8"/>
        </w:rPr>
        <w:t> </w:t>
      </w:r>
      <w:r>
        <w:rPr/>
        <w:t>ABF</w:t>
      </w:r>
      <w:r>
        <w:rPr>
          <w:spacing w:val="-5"/>
        </w:rPr>
        <w:t> </w:t>
      </w:r>
      <w:r>
        <w:rPr/>
        <w:t>will</w:t>
      </w:r>
      <w:r>
        <w:rPr>
          <w:spacing w:val="-9"/>
        </w:rPr>
        <w:t> </w:t>
      </w:r>
      <w:r>
        <w:rPr/>
        <w:t>decide</w:t>
      </w:r>
      <w:r>
        <w:rPr>
          <w:spacing w:val="-6"/>
        </w:rPr>
        <w:t> </w:t>
      </w:r>
      <w:r>
        <w:rPr/>
        <w:t>on</w:t>
      </w:r>
      <w:r>
        <w:rPr>
          <w:spacing w:val="-8"/>
        </w:rPr>
        <w:t> </w:t>
      </w:r>
      <w:r>
        <w:rPr/>
        <w:t>the</w:t>
      </w:r>
      <w:r>
        <w:rPr>
          <w:spacing w:val="-8"/>
        </w:rPr>
        <w:t> </w:t>
      </w:r>
      <w:r>
        <w:rPr/>
        <w:t>treatment</w:t>
      </w:r>
      <w:r>
        <w:rPr>
          <w:spacing w:val="-7"/>
        </w:rPr>
        <w:t> </w:t>
      </w:r>
      <w:r>
        <w:rPr/>
        <w:t>to</w:t>
      </w:r>
      <w:r>
        <w:rPr>
          <w:spacing w:val="-6"/>
        </w:rPr>
        <w:t> </w:t>
      </w:r>
      <w:r>
        <w:rPr/>
        <w:t>impose</w:t>
      </w:r>
      <w:r>
        <w:rPr>
          <w:spacing w:val="-8"/>
        </w:rPr>
        <w:t> </w:t>
      </w:r>
      <w:r>
        <w:rPr/>
        <w:t>on</w:t>
      </w:r>
      <w:r>
        <w:rPr>
          <w:spacing w:val="-8"/>
        </w:rPr>
        <w:t> </w:t>
      </w:r>
      <w:r>
        <w:rPr/>
        <w:t>an</w:t>
      </w:r>
      <w:r>
        <w:rPr>
          <w:spacing w:val="-6"/>
        </w:rPr>
        <w:t> </w:t>
      </w:r>
      <w:r>
        <w:rPr/>
        <w:t>entity</w:t>
      </w:r>
      <w:r>
        <w:rPr>
          <w:spacing w:val="-10"/>
        </w:rPr>
        <w:t> </w:t>
      </w:r>
      <w:r>
        <w:rPr/>
        <w:t>based on</w:t>
      </w:r>
      <w:r>
        <w:rPr>
          <w:spacing w:val="-17"/>
        </w:rPr>
        <w:t> </w:t>
      </w:r>
      <w:r>
        <w:rPr/>
        <w:t>(among</w:t>
      </w:r>
      <w:r>
        <w:rPr>
          <w:spacing w:val="-16"/>
        </w:rPr>
        <w:t> </w:t>
      </w:r>
      <w:r>
        <w:rPr/>
        <w:t>other</w:t>
      </w:r>
      <w:r>
        <w:rPr>
          <w:spacing w:val="-15"/>
        </w:rPr>
        <w:t> </w:t>
      </w:r>
      <w:r>
        <w:rPr/>
        <w:t>things)</w:t>
      </w:r>
      <w:r>
        <w:rPr>
          <w:spacing w:val="-15"/>
        </w:rPr>
        <w:t> </w:t>
      </w:r>
      <w:r>
        <w:rPr/>
        <w:t>the</w:t>
      </w:r>
      <w:r>
        <w:rPr>
          <w:spacing w:val="-15"/>
        </w:rPr>
        <w:t> </w:t>
      </w:r>
      <w:r>
        <w:rPr/>
        <w:t>nature</w:t>
      </w:r>
      <w:r>
        <w:rPr>
          <w:spacing w:val="-16"/>
        </w:rPr>
        <w:t> </w:t>
      </w:r>
      <w:r>
        <w:rPr/>
        <w:t>of</w:t>
      </w:r>
      <w:r>
        <w:rPr>
          <w:spacing w:val="-14"/>
        </w:rPr>
        <w:t> </w:t>
      </w:r>
      <w:r>
        <w:rPr/>
        <w:t>the</w:t>
      </w:r>
      <w:r>
        <w:rPr>
          <w:spacing w:val="-16"/>
        </w:rPr>
        <w:t> </w:t>
      </w:r>
      <w:r>
        <w:rPr/>
        <w:t>offence,</w:t>
      </w:r>
      <w:r>
        <w:rPr>
          <w:spacing w:val="-16"/>
        </w:rPr>
        <w:t> </w:t>
      </w:r>
      <w:r>
        <w:rPr/>
        <w:t>the</w:t>
      </w:r>
      <w:r>
        <w:rPr>
          <w:spacing w:val="-17"/>
        </w:rPr>
        <w:t> </w:t>
      </w:r>
      <w:r>
        <w:rPr/>
        <w:t>seriousness</w:t>
      </w:r>
      <w:r>
        <w:rPr>
          <w:spacing w:val="-15"/>
        </w:rPr>
        <w:t> </w:t>
      </w:r>
      <w:r>
        <w:rPr/>
        <w:t>of</w:t>
      </w:r>
      <w:r>
        <w:rPr>
          <w:spacing w:val="-14"/>
        </w:rPr>
        <w:t> </w:t>
      </w:r>
      <w:r>
        <w:rPr/>
        <w:t>the</w:t>
      </w:r>
      <w:r>
        <w:rPr>
          <w:spacing w:val="-16"/>
        </w:rPr>
        <w:t> </w:t>
      </w:r>
      <w:r>
        <w:rPr/>
        <w:t>breach</w:t>
      </w:r>
      <w:r>
        <w:rPr>
          <w:spacing w:val="-16"/>
        </w:rPr>
        <w:t> </w:t>
      </w:r>
      <w:r>
        <w:rPr/>
        <w:t>and</w:t>
      </w:r>
      <w:r>
        <w:rPr>
          <w:spacing w:val="-15"/>
        </w:rPr>
        <w:t> </w:t>
      </w:r>
      <w:r>
        <w:rPr/>
        <w:t>the</w:t>
      </w:r>
      <w:r>
        <w:rPr>
          <w:spacing w:val="-16"/>
        </w:rPr>
        <w:t> </w:t>
      </w:r>
      <w:r>
        <w:rPr/>
        <w:t>compliance</w:t>
      </w:r>
      <w:r>
        <w:rPr>
          <w:spacing w:val="-16"/>
        </w:rPr>
        <w:t> </w:t>
      </w:r>
      <w:r>
        <w:rPr/>
        <w:t>history of the person or organisation.</w:t>
      </w:r>
    </w:p>
    <w:p>
      <w:pPr>
        <w:pStyle w:val="BodyText"/>
        <w:spacing w:line="264" w:lineRule="auto" w:before="119"/>
        <w:ind w:left="1303" w:right="1303"/>
        <w:jc w:val="both"/>
      </w:pPr>
      <w:r>
        <w:rPr/>
        <w:t>For more information, please refer to the </w:t>
      </w:r>
      <w:hyperlink r:id="rId7">
        <w:r>
          <w:rPr>
            <w:color w:val="082244"/>
            <w:u w:val="single" w:color="082244"/>
          </w:rPr>
          <w:t>Understanding </w:t>
        </w:r>
      </w:hyperlink>
      <w:r>
        <w:rPr>
          <w:color w:val="082244"/>
          <w:u w:val="single" w:color="082244"/>
        </w:rPr>
        <w:t>the Customs Act Infringement Notice Scheme</w:t>
      </w:r>
      <w:r>
        <w:rPr>
          <w:color w:val="082244"/>
        </w:rPr>
        <w:t> </w:t>
      </w:r>
      <w:r>
        <w:rPr/>
        <w:t>factsheet.</w:t>
      </w:r>
    </w:p>
    <w:p>
      <w:pPr>
        <w:pStyle w:val="Heading2"/>
        <w:spacing w:before="178"/>
      </w:pPr>
      <w:bookmarkStart w:name="Understanding Offences in the Supply Cha" w:id="9"/>
      <w:bookmarkEnd w:id="9"/>
      <w:r>
        <w:rPr>
          <w:b w:val="0"/>
        </w:rPr>
      </w:r>
      <w:r>
        <w:rPr/>
        <w:t>Understanding Offences in the Supply Chain</w:t>
      </w:r>
    </w:p>
    <w:p>
      <w:pPr>
        <w:pStyle w:val="BodyText"/>
        <w:spacing w:line="264" w:lineRule="auto" w:before="123"/>
        <w:ind w:left="1303" w:right="1915"/>
      </w:pPr>
      <w:r>
        <w:rPr/>
        <w:t>For general information regarding INS eligible offences in the supply chain, please refer to the INS </w:t>
      </w:r>
      <w:hyperlink r:id="rId7">
        <w:r>
          <w:rPr>
            <w:color w:val="082244"/>
            <w:u w:val="single" w:color="082244"/>
          </w:rPr>
          <w:t>Of</w:t>
        </w:r>
      </w:hyperlink>
      <w:r>
        <w:rPr>
          <w:color w:val="082244"/>
          <w:u w:val="single" w:color="082244"/>
        </w:rPr>
        <w:t>fences in the Supply Chain</w:t>
      </w:r>
      <w:r>
        <w:rPr>
          <w:color w:val="082244"/>
        </w:rPr>
        <w:t> </w:t>
      </w:r>
      <w:r>
        <w:rPr/>
        <w:t>factsheet. This webpage should be read in conjunction with the Understanding the Customs Act Infringement Notice Scheme webpage.</w:t>
      </w:r>
    </w:p>
    <w:p>
      <w:pPr>
        <w:pStyle w:val="BodyText"/>
        <w:spacing w:before="6"/>
        <w:rPr>
          <w:sz w:val="27"/>
        </w:rPr>
      </w:pPr>
    </w:p>
    <w:p>
      <w:pPr>
        <w:pStyle w:val="Heading1"/>
        <w:jc w:val="both"/>
      </w:pPr>
      <w:bookmarkStart w:name="Compliance Approach" w:id="10"/>
      <w:bookmarkEnd w:id="10"/>
      <w:r>
        <w:rPr>
          <w:b w:val="0"/>
        </w:rPr>
      </w:r>
      <w:r>
        <w:rPr/>
        <w:t>Compliance Approach</w:t>
      </w:r>
    </w:p>
    <w:p>
      <w:pPr>
        <w:pStyle w:val="BodyText"/>
        <w:spacing w:line="264" w:lineRule="auto" w:before="183"/>
        <w:ind w:left="1303" w:right="1559"/>
      </w:pPr>
      <w:r>
        <w:rPr/>
        <w:t>The Department and the ABF are committed to working with industry to improve awareness of border related obligations and to increase voluntary compliance. The Department seeks to encourage higher levels of voluntary compliance by increasing understanding and awareness of the ability for industry to correct any errors, omissions or adjustments and be protected from liability for an offence.</w:t>
      </w:r>
    </w:p>
    <w:p>
      <w:pPr>
        <w:pStyle w:val="BodyText"/>
        <w:spacing w:line="266" w:lineRule="auto" w:before="119"/>
        <w:ind w:left="1303" w:right="1371"/>
      </w:pPr>
      <w:r>
        <w:rPr/>
        <w:t>The ABF will continue to undertake compliance activities to ensure that the information communicated in relation to cargo and its movements are correct and in line with the intent of this notice.</w:t>
      </w:r>
    </w:p>
    <w:p>
      <w:pPr>
        <w:pStyle w:val="BodyText"/>
        <w:spacing w:before="116"/>
        <w:ind w:left="1303" w:right="1322"/>
      </w:pPr>
      <w:r>
        <w:rPr/>
        <w:t>If errors or omissions are identified by the Department, or if anyone in the supply chain fails to adhere to their obligations, appropriate treatments will be considered. Treatments can range from education and awareness for those genuinely trying to comply, a demand for payment of outstanding duty and taxes, the issuing of infringement notices, an investigation for misconduct, suspension or revocation of a licence and prosecution for more serious and systemic</w:t>
      </w:r>
      <w:r>
        <w:rPr>
          <w:spacing w:val="-5"/>
        </w:rPr>
        <w:t> </w:t>
      </w:r>
      <w:r>
        <w:rPr/>
        <w:t>breaches.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8"/>
        </w:rPr>
      </w:pPr>
    </w:p>
    <w:p>
      <w:pPr>
        <w:pStyle w:val="BodyText"/>
        <w:tabs>
          <w:tab w:pos="6405" w:val="left" w:leader="none"/>
        </w:tabs>
        <w:spacing w:line="229" w:lineRule="exact"/>
        <w:ind w:left="1303"/>
      </w:pPr>
      <w:r>
        <w:rPr/>
        <w:t>Erin</w:t>
      </w:r>
      <w:r>
        <w:rPr>
          <w:spacing w:val="-2"/>
        </w:rPr>
        <w:t> </w:t>
      </w:r>
      <w:r>
        <w:rPr/>
        <w:t>Dale</w:t>
        <w:tab/>
        <w:t>Joshua</w:t>
      </w:r>
      <w:r>
        <w:rPr>
          <w:spacing w:val="-1"/>
        </w:rPr>
        <w:t> </w:t>
      </w:r>
      <w:r>
        <w:rPr/>
        <w:t>Hutton</w:t>
      </w:r>
    </w:p>
    <w:p>
      <w:pPr>
        <w:pStyle w:val="BodyText"/>
        <w:tabs>
          <w:tab w:pos="6405" w:val="left" w:leader="none"/>
        </w:tabs>
        <w:spacing w:line="229" w:lineRule="exact"/>
        <w:ind w:left="1303"/>
      </w:pPr>
      <w:r>
        <w:rPr/>
        <w:t>Commander</w:t>
        <w:tab/>
        <w:t>A/g Assistant</w:t>
      </w:r>
      <w:r>
        <w:rPr>
          <w:spacing w:val="1"/>
        </w:rPr>
        <w:t> </w:t>
      </w:r>
      <w:r>
        <w:rPr/>
        <w:t>Secretary</w:t>
      </w:r>
    </w:p>
    <w:p>
      <w:pPr>
        <w:pStyle w:val="BodyText"/>
        <w:tabs>
          <w:tab w:pos="6405" w:val="left" w:leader="none"/>
        </w:tabs>
        <w:ind w:left="1303"/>
      </w:pPr>
      <w:r>
        <w:rPr/>
        <w:t>Customs</w:t>
      </w:r>
      <w:r>
        <w:rPr>
          <w:spacing w:val="-4"/>
        </w:rPr>
        <w:t> </w:t>
      </w:r>
      <w:r>
        <w:rPr/>
        <w:t>Compliance</w:t>
        <w:tab/>
        <w:t>Trade and Customs</w:t>
      </w:r>
      <w:r>
        <w:rPr>
          <w:spacing w:val="-2"/>
        </w:rPr>
        <w:t> </w:t>
      </w:r>
      <w:r>
        <w:rPr/>
        <w:t>Branch</w:t>
      </w:r>
    </w:p>
    <w:p>
      <w:pPr>
        <w:pStyle w:val="BodyText"/>
        <w:tabs>
          <w:tab w:pos="6405" w:val="left" w:leader="none"/>
        </w:tabs>
        <w:spacing w:before="1"/>
        <w:ind w:left="1303"/>
        <w:jc w:val="both"/>
      </w:pPr>
      <w:r>
        <w:rPr/>
        <w:t>Canberra</w:t>
      </w:r>
      <w:r>
        <w:rPr>
          <w:spacing w:val="-4"/>
        </w:rPr>
        <w:t> </w:t>
      </w:r>
      <w:r>
        <w:rPr/>
        <w:t>ACT</w:t>
        <w:tab/>
        <w:t>Canberra</w:t>
      </w:r>
      <w:r>
        <w:rPr>
          <w:spacing w:val="-1"/>
        </w:rPr>
        <w:t> </w:t>
      </w:r>
      <w:r>
        <w:rPr/>
        <w:t>ACT</w:t>
      </w:r>
    </w:p>
    <w:p>
      <w:pPr>
        <w:pStyle w:val="BodyText"/>
        <w:tabs>
          <w:tab w:pos="6405" w:val="left" w:leader="none"/>
        </w:tabs>
        <w:ind w:left="1303"/>
      </w:pPr>
      <w:r>
        <w:rPr/>
        <w:t>1</w:t>
      </w:r>
      <w:r>
        <w:rPr>
          <w:spacing w:val="-3"/>
        </w:rPr>
        <w:t> </w:t>
      </w:r>
      <w:r>
        <w:rPr/>
        <w:t>June 2017</w:t>
        <w:tab/>
        <w:t>1 June 2017</w:t>
      </w:r>
    </w:p>
    <w:sectPr>
      <w:pgSz w:w="11910" w:h="16840"/>
      <w:pgMar w:header="0" w:footer="621" w:top="1580" w:bottom="8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77.920013pt;margin-top:799.863464pt;width:56.15pt;height:13.15pt;mso-position-horizontal-relative:page;mso-position-vertical-relative:page;z-index:-15787008" type="#_x0000_t202" filled="false" stroked="false">
          <v:textbox inset="0,0,0,0">
            <w:txbxContent>
              <w:p>
                <w:pPr>
                  <w:pStyle w:val="BodyText"/>
                  <w:spacing w:before="12"/>
                  <w:ind w:left="20"/>
                </w:pPr>
                <w:r>
                  <w:rPr/>
                  <w:t>Page </w:t>
                </w:r>
                <w:r>
                  <w:rPr/>
                  <w:fldChar w:fldCharType="begin"/>
                </w:r>
                <w:r>
                  <w:rPr/>
                  <w:instrText> PAGE </w:instrText>
                </w:r>
                <w:r>
                  <w:rPr/>
                  <w:fldChar w:fldCharType="separate"/>
                </w:r>
                <w:r>
                  <w:rPr/>
                  <w:t>1</w:t>
                </w:r>
                <w:r>
                  <w:rPr/>
                  <w:fldChar w:fldCharType="end"/>
                </w:r>
                <w:r>
                  <w:rPr/>
                  <w:t> of 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303"/>
      <w:outlineLvl w:val="1"/>
    </w:pPr>
    <w:rPr>
      <w:rFonts w:ascii="Arial" w:hAnsi="Arial" w:eastAsia="Arial" w:cs="Arial"/>
      <w:b/>
      <w:bCs/>
      <w:sz w:val="22"/>
      <w:szCs w:val="22"/>
      <w:lang w:val="en-au" w:eastAsia="en-US" w:bidi="ar-SA"/>
    </w:rPr>
  </w:style>
  <w:style w:styleId="Heading2" w:type="paragraph">
    <w:name w:val="Heading 2"/>
    <w:basedOn w:val="Normal"/>
    <w:uiPriority w:val="1"/>
    <w:qFormat/>
    <w:pPr>
      <w:ind w:left="1303"/>
      <w:outlineLvl w:val="2"/>
    </w:pPr>
    <w:rPr>
      <w:rFonts w:ascii="Arial" w:hAnsi="Arial" w:eastAsia="Arial" w:cs="Arial"/>
      <w:b/>
      <w:bCs/>
      <w:sz w:val="20"/>
      <w:szCs w:val="20"/>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border.gov.au/Busi/Comp/Comp/trade-and-goods-complianc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"integrity, supply chain"</cp:keywords>
  <dc:subject>Supply Chain Integrity</dc:subject>
  <dc:title>Supply Chain</dc:title>
  <dcterms:created xsi:type="dcterms:W3CDTF">2020-12-09T22:37:00Z</dcterms:created>
  <dcterms:modified xsi:type="dcterms:W3CDTF">2020-12-09T22:37:00Z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2017-06-02T00:00:00Z</vt:filetime>
  </property>
  <property fmtid="{D5CDD505-2E9C-101B-9397-08002B2CF9AE}" pid="3" name="Creator">
    <vt:lpwstr>Acrobat PDFMaker 15 for Word</vt:lpwstr>
  </property>
  <property fmtid="{D5CDD505-2E9C-101B-9397-08002B2CF9AE}" pid="4" name="LastSaved">
    <vt:filetime>2020-12-09T00:00:00Z</vt:filetime>
  </property>
</Properties>
</file>