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17"/>
        </w:rPr>
      </w:pPr>
    </w:p>
    <w:p>
      <w:pPr>
        <w:pStyle w:val="Title"/>
      </w:pPr>
      <w:r>
        <w:rPr/>
        <w:drawing>
          <wp:anchor distT="0" distB="0" distL="0" distR="0" allowOverlap="1" layoutInCell="1" locked="0" behindDoc="0" simplePos="0" relativeHeight="15729152">
            <wp:simplePos x="0" y="0"/>
            <wp:positionH relativeFrom="page">
              <wp:posOffset>0</wp:posOffset>
            </wp:positionH>
            <wp:positionV relativeFrom="paragraph">
              <wp:posOffset>-1294486</wp:posOffset>
            </wp:positionV>
            <wp:extent cx="7560564" cy="1109217"/>
            <wp:effectExtent l="0" t="0" r="0" b="0"/>
            <wp:wrapNone/>
            <wp:docPr id="1" name="image1.jpeg" descr="Australian Government, Department of Immigration and Border Protection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60564" cy="1109217"/>
                    </a:xfrm>
                    <a:prstGeom prst="rect">
                      <a:avLst/>
                    </a:prstGeom>
                  </pic:spPr>
                </pic:pic>
              </a:graphicData>
            </a:graphic>
          </wp:anchor>
        </w:drawing>
      </w:r>
      <w:r>
        <w:rPr/>
        <w:t>DEPARTMENT OF IMMIGRATION AND BORDER PROTECTION NOTICE</w:t>
      </w:r>
    </w:p>
    <w:p>
      <w:pPr>
        <w:pStyle w:val="Title"/>
        <w:spacing w:before="201"/>
        <w:ind w:left="3375" w:right="2922"/>
        <w:jc w:val="center"/>
      </w:pPr>
      <w:r>
        <w:rPr/>
        <w:pict>
          <v:rect style="position:absolute;margin-left:55.919998pt;margin-top:30.26185pt;width:506.16pt;height:.48pt;mso-position-horizontal-relative:page;mso-position-vertical-relative:paragraph;z-index:-15728640;mso-wrap-distance-left:0;mso-wrap-distance-right:0" filled="true" fillcolor="#4f81bc" stroked="false">
            <v:fill type="solid"/>
            <w10:wrap type="topAndBottom"/>
          </v:rect>
        </w:pict>
      </w:r>
      <w:r>
        <w:rPr/>
        <w:t>No. 2017/31</w:t>
      </w:r>
    </w:p>
    <w:p>
      <w:pPr>
        <w:pStyle w:val="BodyText"/>
        <w:spacing w:before="7"/>
        <w:rPr>
          <w:b/>
          <w:sz w:val="13"/>
        </w:rPr>
      </w:pPr>
    </w:p>
    <w:p>
      <w:pPr>
        <w:spacing w:before="91"/>
        <w:ind w:left="3375" w:right="3379" w:firstLine="0"/>
        <w:jc w:val="center"/>
        <w:rPr>
          <w:b/>
          <w:sz w:val="26"/>
        </w:rPr>
      </w:pPr>
      <w:r>
        <w:rPr>
          <w:b/>
          <w:sz w:val="26"/>
        </w:rPr>
        <w:t>Applications for Customs Broker Licence</w:t>
      </w:r>
    </w:p>
    <w:p>
      <w:pPr>
        <w:pStyle w:val="BodyText"/>
        <w:spacing w:before="6"/>
        <w:rPr>
          <w:b/>
          <w:sz w:val="24"/>
        </w:rPr>
      </w:pPr>
    </w:p>
    <w:p>
      <w:pPr>
        <w:pStyle w:val="BodyText"/>
        <w:spacing w:before="1"/>
        <w:ind w:left="720"/>
      </w:pPr>
      <w:r>
        <w:rPr/>
        <w:t>The following individuals and companies have applied to the Comptroller-General of Customs for a customs broker licence.</w:t>
      </w:r>
    </w:p>
    <w:p>
      <w:pPr>
        <w:pStyle w:val="BodyText"/>
        <w:spacing w:before="4"/>
      </w:pPr>
    </w:p>
    <w:tbl>
      <w:tblPr>
        <w:tblW w:w="0" w:type="auto"/>
        <w:jc w:val="left"/>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00"/>
        <w:gridCol w:w="2984"/>
        <w:gridCol w:w="3081"/>
      </w:tblGrid>
      <w:tr>
        <w:trPr>
          <w:trHeight w:val="228" w:hRule="atLeast"/>
        </w:trPr>
        <w:tc>
          <w:tcPr>
            <w:tcW w:w="3100" w:type="dxa"/>
          </w:tcPr>
          <w:p>
            <w:pPr>
              <w:pStyle w:val="TableParagraph"/>
              <w:spacing w:line="208" w:lineRule="exact"/>
              <w:ind w:left="200"/>
              <w:rPr>
                <w:b/>
                <w:sz w:val="20"/>
              </w:rPr>
            </w:pPr>
            <w:r>
              <w:rPr>
                <w:b/>
                <w:color w:val="0D0D0D"/>
                <w:sz w:val="20"/>
                <w:u w:val="thick" w:color="0D0D0D"/>
              </w:rPr>
              <w:t>COMPANY</w:t>
            </w:r>
          </w:p>
        </w:tc>
        <w:tc>
          <w:tcPr>
            <w:tcW w:w="2984" w:type="dxa"/>
          </w:tcPr>
          <w:p>
            <w:pPr>
              <w:pStyle w:val="TableParagraph"/>
              <w:spacing w:line="208" w:lineRule="exact"/>
              <w:ind w:left="213"/>
              <w:rPr>
                <w:b/>
                <w:sz w:val="20"/>
              </w:rPr>
            </w:pPr>
            <w:r>
              <w:rPr>
                <w:b/>
                <w:color w:val="0D0D0D"/>
                <w:sz w:val="20"/>
                <w:u w:val="thick" w:color="0D0D0D"/>
              </w:rPr>
              <w:t>COMPANY</w:t>
            </w:r>
          </w:p>
        </w:tc>
        <w:tc>
          <w:tcPr>
            <w:tcW w:w="3081" w:type="dxa"/>
          </w:tcPr>
          <w:p>
            <w:pPr>
              <w:pStyle w:val="TableParagraph"/>
              <w:spacing w:line="208" w:lineRule="exact"/>
              <w:ind w:left="237"/>
              <w:rPr>
                <w:b/>
                <w:sz w:val="20"/>
              </w:rPr>
            </w:pPr>
            <w:r>
              <w:rPr>
                <w:b/>
                <w:color w:val="0D0D0D"/>
                <w:sz w:val="20"/>
                <w:u w:val="thick" w:color="0D0D0D"/>
              </w:rPr>
              <w:t>COMPANY</w:t>
            </w:r>
          </w:p>
        </w:tc>
      </w:tr>
      <w:tr>
        <w:trPr>
          <w:trHeight w:val="577" w:hRule="atLeast"/>
        </w:trPr>
        <w:tc>
          <w:tcPr>
            <w:tcW w:w="3100" w:type="dxa"/>
          </w:tcPr>
          <w:p>
            <w:pPr>
              <w:pStyle w:val="TableParagraph"/>
              <w:spacing w:line="227" w:lineRule="exact"/>
              <w:ind w:left="200"/>
              <w:rPr>
                <w:sz w:val="20"/>
              </w:rPr>
            </w:pPr>
            <w:r>
              <w:rPr>
                <w:sz w:val="20"/>
              </w:rPr>
              <w:t>Flynt Pty Ltd</w:t>
            </w:r>
          </w:p>
        </w:tc>
        <w:tc>
          <w:tcPr>
            <w:tcW w:w="2984" w:type="dxa"/>
          </w:tcPr>
          <w:p>
            <w:pPr>
              <w:pStyle w:val="TableParagraph"/>
              <w:ind w:left="213"/>
              <w:rPr>
                <w:sz w:val="20"/>
              </w:rPr>
            </w:pPr>
            <w:r>
              <w:rPr>
                <w:color w:val="0D0D0D"/>
                <w:sz w:val="20"/>
              </w:rPr>
              <w:t>Gulf Agency Company(Australia) Pty Ltd</w:t>
            </w:r>
          </w:p>
        </w:tc>
        <w:tc>
          <w:tcPr>
            <w:tcW w:w="3081" w:type="dxa"/>
          </w:tcPr>
          <w:p>
            <w:pPr>
              <w:pStyle w:val="TableParagraph"/>
              <w:ind w:left="237" w:right="178"/>
              <w:rPr>
                <w:sz w:val="20"/>
              </w:rPr>
            </w:pPr>
            <w:r>
              <w:rPr>
                <w:sz w:val="20"/>
              </w:rPr>
              <w:t>AMAC Customs and Logistics Pty Ltd</w:t>
            </w:r>
          </w:p>
        </w:tc>
      </w:tr>
      <w:tr>
        <w:trPr>
          <w:trHeight w:val="459" w:hRule="atLeast"/>
        </w:trPr>
        <w:tc>
          <w:tcPr>
            <w:tcW w:w="3100" w:type="dxa"/>
          </w:tcPr>
          <w:p>
            <w:pPr>
              <w:pStyle w:val="TableParagraph"/>
              <w:spacing w:before="112"/>
              <w:ind w:left="200"/>
              <w:rPr>
                <w:sz w:val="20"/>
              </w:rPr>
            </w:pPr>
            <w:r>
              <w:rPr>
                <w:sz w:val="20"/>
              </w:rPr>
              <w:t>ABN 78 617 579 469</w:t>
            </w:r>
          </w:p>
        </w:tc>
        <w:tc>
          <w:tcPr>
            <w:tcW w:w="2984" w:type="dxa"/>
          </w:tcPr>
          <w:p>
            <w:pPr>
              <w:pStyle w:val="TableParagraph"/>
              <w:spacing w:before="112"/>
              <w:ind w:left="213"/>
              <w:rPr>
                <w:sz w:val="20"/>
              </w:rPr>
            </w:pPr>
            <w:r>
              <w:rPr>
                <w:color w:val="0D0D0D"/>
                <w:sz w:val="20"/>
              </w:rPr>
              <w:t>ABN 61 123 217 649</w:t>
            </w:r>
          </w:p>
        </w:tc>
        <w:tc>
          <w:tcPr>
            <w:tcW w:w="3081" w:type="dxa"/>
          </w:tcPr>
          <w:p>
            <w:pPr>
              <w:pStyle w:val="TableParagraph"/>
              <w:spacing w:before="112"/>
              <w:ind w:left="237"/>
              <w:rPr>
                <w:sz w:val="20"/>
              </w:rPr>
            </w:pPr>
            <w:r>
              <w:rPr>
                <w:sz w:val="20"/>
              </w:rPr>
              <w:t>ABN 57 565 205 148</w:t>
            </w:r>
          </w:p>
        </w:tc>
      </w:tr>
      <w:tr>
        <w:trPr>
          <w:trHeight w:val="344" w:hRule="atLeast"/>
        </w:trPr>
        <w:tc>
          <w:tcPr>
            <w:tcW w:w="3100" w:type="dxa"/>
          </w:tcPr>
          <w:p>
            <w:pPr>
              <w:pStyle w:val="TableParagraph"/>
              <w:spacing w:line="214" w:lineRule="exact" w:before="110"/>
              <w:ind w:left="200"/>
              <w:rPr>
                <w:sz w:val="20"/>
              </w:rPr>
            </w:pPr>
            <w:r>
              <w:rPr>
                <w:sz w:val="20"/>
              </w:rPr>
              <w:t>G.06</w:t>
            </w:r>
          </w:p>
        </w:tc>
        <w:tc>
          <w:tcPr>
            <w:tcW w:w="2984" w:type="dxa"/>
          </w:tcPr>
          <w:p>
            <w:pPr>
              <w:pStyle w:val="TableParagraph"/>
              <w:spacing w:line="214" w:lineRule="exact" w:before="110"/>
              <w:ind w:left="213"/>
              <w:rPr>
                <w:sz w:val="20"/>
              </w:rPr>
            </w:pPr>
            <w:r>
              <w:rPr>
                <w:color w:val="0D0D0D"/>
                <w:sz w:val="20"/>
              </w:rPr>
              <w:t>Suites 18 &amp; 19</w:t>
            </w:r>
          </w:p>
        </w:tc>
        <w:tc>
          <w:tcPr>
            <w:tcW w:w="3081" w:type="dxa"/>
          </w:tcPr>
          <w:p>
            <w:pPr>
              <w:pStyle w:val="TableParagraph"/>
              <w:rPr>
                <w:rFonts w:ascii="Times New Roman"/>
                <w:sz w:val="18"/>
              </w:rPr>
            </w:pPr>
          </w:p>
        </w:tc>
      </w:tr>
      <w:tr>
        <w:trPr>
          <w:trHeight w:val="230" w:hRule="atLeast"/>
        </w:trPr>
        <w:tc>
          <w:tcPr>
            <w:tcW w:w="3100" w:type="dxa"/>
          </w:tcPr>
          <w:p>
            <w:pPr>
              <w:pStyle w:val="TableParagraph"/>
              <w:spacing w:line="210" w:lineRule="exact"/>
              <w:ind w:left="200"/>
              <w:rPr>
                <w:sz w:val="20"/>
              </w:rPr>
            </w:pPr>
            <w:r>
              <w:rPr>
                <w:sz w:val="20"/>
              </w:rPr>
              <w:t>100 Collins Street</w:t>
            </w:r>
          </w:p>
        </w:tc>
        <w:tc>
          <w:tcPr>
            <w:tcW w:w="2984" w:type="dxa"/>
          </w:tcPr>
          <w:p>
            <w:pPr>
              <w:pStyle w:val="TableParagraph"/>
              <w:spacing w:line="210" w:lineRule="exact"/>
              <w:ind w:left="213"/>
              <w:rPr>
                <w:sz w:val="20"/>
              </w:rPr>
            </w:pPr>
            <w:r>
              <w:rPr>
                <w:color w:val="0D0D0D"/>
                <w:sz w:val="20"/>
              </w:rPr>
              <w:t>Level 2, 123 Clarence Street</w:t>
            </w:r>
          </w:p>
        </w:tc>
        <w:tc>
          <w:tcPr>
            <w:tcW w:w="3081" w:type="dxa"/>
          </w:tcPr>
          <w:p>
            <w:pPr>
              <w:pStyle w:val="TableParagraph"/>
              <w:spacing w:line="210" w:lineRule="exact"/>
              <w:ind w:left="237"/>
              <w:rPr>
                <w:sz w:val="20"/>
              </w:rPr>
            </w:pPr>
            <w:r>
              <w:rPr>
                <w:sz w:val="20"/>
              </w:rPr>
              <w:t>36 Price Street</w:t>
            </w:r>
          </w:p>
        </w:tc>
      </w:tr>
      <w:tr>
        <w:trPr>
          <w:trHeight w:val="344" w:hRule="atLeast"/>
        </w:trPr>
        <w:tc>
          <w:tcPr>
            <w:tcW w:w="3100" w:type="dxa"/>
          </w:tcPr>
          <w:p>
            <w:pPr>
              <w:pStyle w:val="TableParagraph"/>
              <w:spacing w:line="227" w:lineRule="exact"/>
              <w:ind w:left="200"/>
              <w:rPr>
                <w:sz w:val="20"/>
              </w:rPr>
            </w:pPr>
            <w:r>
              <w:rPr>
                <w:sz w:val="20"/>
              </w:rPr>
              <w:t>ALEXANDRIA NSW 2015</w:t>
            </w:r>
          </w:p>
        </w:tc>
        <w:tc>
          <w:tcPr>
            <w:tcW w:w="2984" w:type="dxa"/>
          </w:tcPr>
          <w:p>
            <w:pPr>
              <w:pStyle w:val="TableParagraph"/>
              <w:spacing w:line="227" w:lineRule="exact"/>
              <w:ind w:left="213"/>
              <w:rPr>
                <w:sz w:val="20"/>
              </w:rPr>
            </w:pPr>
            <w:r>
              <w:rPr>
                <w:sz w:val="20"/>
              </w:rPr>
              <w:t>SYDNEY NSW 2000</w:t>
            </w:r>
          </w:p>
        </w:tc>
        <w:tc>
          <w:tcPr>
            <w:tcW w:w="3081" w:type="dxa"/>
          </w:tcPr>
          <w:p>
            <w:pPr>
              <w:pStyle w:val="TableParagraph"/>
              <w:spacing w:line="227" w:lineRule="exact"/>
              <w:ind w:left="237"/>
              <w:rPr>
                <w:sz w:val="20"/>
              </w:rPr>
            </w:pPr>
            <w:r>
              <w:rPr>
                <w:sz w:val="20"/>
              </w:rPr>
              <w:t>MELROSE PARK SA 5039</w:t>
            </w:r>
          </w:p>
        </w:tc>
      </w:tr>
      <w:tr>
        <w:trPr>
          <w:trHeight w:val="344" w:hRule="atLeast"/>
        </w:trPr>
        <w:tc>
          <w:tcPr>
            <w:tcW w:w="3100" w:type="dxa"/>
          </w:tcPr>
          <w:p>
            <w:pPr>
              <w:pStyle w:val="TableParagraph"/>
              <w:spacing w:line="214" w:lineRule="exact" w:before="110"/>
              <w:ind w:left="200"/>
              <w:rPr>
                <w:b/>
                <w:sz w:val="20"/>
              </w:rPr>
            </w:pPr>
            <w:r>
              <w:rPr>
                <w:b/>
                <w:color w:val="0D0D0D"/>
                <w:sz w:val="20"/>
                <w:u w:val="thick" w:color="0D0D0D"/>
              </w:rPr>
              <w:t>Persons in Authority</w:t>
            </w:r>
          </w:p>
        </w:tc>
        <w:tc>
          <w:tcPr>
            <w:tcW w:w="2984" w:type="dxa"/>
          </w:tcPr>
          <w:p>
            <w:pPr>
              <w:pStyle w:val="TableParagraph"/>
              <w:spacing w:line="214" w:lineRule="exact" w:before="110"/>
              <w:ind w:left="213"/>
              <w:rPr>
                <w:b/>
                <w:sz w:val="20"/>
              </w:rPr>
            </w:pPr>
            <w:r>
              <w:rPr>
                <w:b/>
                <w:color w:val="0D0D0D"/>
                <w:sz w:val="20"/>
                <w:u w:val="thick" w:color="0D0D0D"/>
              </w:rPr>
              <w:t>Persons in Authority</w:t>
            </w:r>
          </w:p>
        </w:tc>
        <w:tc>
          <w:tcPr>
            <w:tcW w:w="3081" w:type="dxa"/>
          </w:tcPr>
          <w:p>
            <w:pPr>
              <w:pStyle w:val="TableParagraph"/>
              <w:spacing w:line="214" w:lineRule="exact" w:before="110"/>
              <w:ind w:left="237"/>
              <w:rPr>
                <w:b/>
                <w:sz w:val="20"/>
              </w:rPr>
            </w:pPr>
            <w:r>
              <w:rPr>
                <w:b/>
                <w:color w:val="0D0D0D"/>
                <w:sz w:val="20"/>
                <w:u w:val="thick" w:color="0D0D0D"/>
              </w:rPr>
              <w:t>Persons in Authority</w:t>
            </w:r>
          </w:p>
        </w:tc>
      </w:tr>
      <w:tr>
        <w:trPr>
          <w:trHeight w:val="229" w:hRule="atLeast"/>
        </w:trPr>
        <w:tc>
          <w:tcPr>
            <w:tcW w:w="3100" w:type="dxa"/>
          </w:tcPr>
          <w:p>
            <w:pPr>
              <w:pStyle w:val="TableParagraph"/>
              <w:spacing w:line="210" w:lineRule="exact"/>
              <w:ind w:left="200"/>
              <w:rPr>
                <w:sz w:val="20"/>
              </w:rPr>
            </w:pPr>
            <w:r>
              <w:rPr>
                <w:sz w:val="20"/>
              </w:rPr>
              <w:t>Christopher Hartvig Bregenhoj</w:t>
            </w:r>
          </w:p>
        </w:tc>
        <w:tc>
          <w:tcPr>
            <w:tcW w:w="2984" w:type="dxa"/>
          </w:tcPr>
          <w:p>
            <w:pPr>
              <w:pStyle w:val="TableParagraph"/>
              <w:spacing w:line="210" w:lineRule="exact"/>
              <w:ind w:left="213"/>
              <w:rPr>
                <w:sz w:val="20"/>
              </w:rPr>
            </w:pPr>
            <w:r>
              <w:rPr>
                <w:color w:val="0D0D0D"/>
                <w:sz w:val="20"/>
              </w:rPr>
              <w:t>Scott Alan Henderson</w:t>
            </w:r>
          </w:p>
        </w:tc>
        <w:tc>
          <w:tcPr>
            <w:tcW w:w="3081" w:type="dxa"/>
          </w:tcPr>
          <w:p>
            <w:pPr>
              <w:pStyle w:val="TableParagraph"/>
              <w:spacing w:line="210" w:lineRule="exact"/>
              <w:ind w:left="237"/>
              <w:rPr>
                <w:sz w:val="20"/>
              </w:rPr>
            </w:pPr>
            <w:r>
              <w:rPr>
                <w:sz w:val="20"/>
              </w:rPr>
              <w:t>Aaron Searle Machner</w:t>
            </w:r>
          </w:p>
        </w:tc>
      </w:tr>
      <w:tr>
        <w:trPr>
          <w:trHeight w:val="230" w:hRule="atLeast"/>
        </w:trPr>
        <w:tc>
          <w:tcPr>
            <w:tcW w:w="3100" w:type="dxa"/>
          </w:tcPr>
          <w:p>
            <w:pPr>
              <w:pStyle w:val="TableParagraph"/>
              <w:spacing w:line="210" w:lineRule="exact"/>
              <w:ind w:left="200"/>
              <w:rPr>
                <w:sz w:val="20"/>
              </w:rPr>
            </w:pPr>
            <w:r>
              <w:rPr>
                <w:sz w:val="20"/>
              </w:rPr>
              <w:t>Kevin James Burgess</w:t>
            </w:r>
          </w:p>
        </w:tc>
        <w:tc>
          <w:tcPr>
            <w:tcW w:w="2984" w:type="dxa"/>
          </w:tcPr>
          <w:p>
            <w:pPr>
              <w:pStyle w:val="TableParagraph"/>
              <w:spacing w:line="210" w:lineRule="exact"/>
              <w:ind w:left="213"/>
              <w:rPr>
                <w:sz w:val="20"/>
              </w:rPr>
            </w:pPr>
            <w:r>
              <w:rPr>
                <w:color w:val="0D0D0D"/>
                <w:sz w:val="20"/>
              </w:rPr>
              <w:t>Bengt Ake Ekstrand</w:t>
            </w:r>
          </w:p>
        </w:tc>
        <w:tc>
          <w:tcPr>
            <w:tcW w:w="3081" w:type="dxa"/>
          </w:tcPr>
          <w:p>
            <w:pPr>
              <w:pStyle w:val="TableParagraph"/>
              <w:spacing w:line="210" w:lineRule="exact"/>
              <w:ind w:left="237"/>
              <w:rPr>
                <w:sz w:val="20"/>
              </w:rPr>
            </w:pPr>
            <w:r>
              <w:rPr>
                <w:sz w:val="20"/>
              </w:rPr>
              <w:t>Maree Louise Clark</w:t>
            </w:r>
          </w:p>
        </w:tc>
      </w:tr>
      <w:tr>
        <w:trPr>
          <w:trHeight w:val="230" w:hRule="atLeast"/>
        </w:trPr>
        <w:tc>
          <w:tcPr>
            <w:tcW w:w="3100" w:type="dxa"/>
          </w:tcPr>
          <w:p>
            <w:pPr>
              <w:pStyle w:val="TableParagraph"/>
              <w:rPr>
                <w:rFonts w:ascii="Times New Roman"/>
                <w:sz w:val="16"/>
              </w:rPr>
            </w:pPr>
          </w:p>
        </w:tc>
        <w:tc>
          <w:tcPr>
            <w:tcW w:w="2984" w:type="dxa"/>
          </w:tcPr>
          <w:p>
            <w:pPr>
              <w:pStyle w:val="TableParagraph"/>
              <w:spacing w:line="210" w:lineRule="exact"/>
              <w:ind w:left="213"/>
              <w:rPr>
                <w:sz w:val="20"/>
              </w:rPr>
            </w:pPr>
            <w:r>
              <w:rPr>
                <w:sz w:val="20"/>
              </w:rPr>
              <w:t>Lars Tore Bergstrom</w:t>
            </w:r>
          </w:p>
        </w:tc>
        <w:tc>
          <w:tcPr>
            <w:tcW w:w="3081" w:type="dxa"/>
          </w:tcPr>
          <w:p>
            <w:pPr>
              <w:pStyle w:val="TableParagraph"/>
              <w:rPr>
                <w:rFonts w:ascii="Times New Roman"/>
                <w:sz w:val="16"/>
              </w:rPr>
            </w:pPr>
          </w:p>
        </w:tc>
      </w:tr>
      <w:tr>
        <w:trPr>
          <w:trHeight w:val="344" w:hRule="atLeast"/>
        </w:trPr>
        <w:tc>
          <w:tcPr>
            <w:tcW w:w="3100" w:type="dxa"/>
          </w:tcPr>
          <w:p>
            <w:pPr>
              <w:pStyle w:val="TableParagraph"/>
              <w:rPr>
                <w:rFonts w:ascii="Times New Roman"/>
                <w:sz w:val="18"/>
              </w:rPr>
            </w:pPr>
          </w:p>
        </w:tc>
        <w:tc>
          <w:tcPr>
            <w:tcW w:w="2984" w:type="dxa"/>
          </w:tcPr>
          <w:p>
            <w:pPr>
              <w:pStyle w:val="TableParagraph"/>
              <w:spacing w:line="227" w:lineRule="exact"/>
              <w:ind w:left="213"/>
              <w:rPr>
                <w:sz w:val="20"/>
              </w:rPr>
            </w:pPr>
            <w:r>
              <w:rPr>
                <w:sz w:val="20"/>
              </w:rPr>
              <w:t>Basil Charles Dean Laing</w:t>
            </w:r>
          </w:p>
        </w:tc>
        <w:tc>
          <w:tcPr>
            <w:tcW w:w="3081" w:type="dxa"/>
          </w:tcPr>
          <w:p>
            <w:pPr>
              <w:pStyle w:val="TableParagraph"/>
              <w:rPr>
                <w:rFonts w:ascii="Times New Roman"/>
                <w:sz w:val="18"/>
              </w:rPr>
            </w:pPr>
          </w:p>
        </w:tc>
      </w:tr>
      <w:tr>
        <w:trPr>
          <w:trHeight w:val="344" w:hRule="atLeast"/>
        </w:trPr>
        <w:tc>
          <w:tcPr>
            <w:tcW w:w="3100" w:type="dxa"/>
          </w:tcPr>
          <w:p>
            <w:pPr>
              <w:pStyle w:val="TableParagraph"/>
              <w:spacing w:line="214" w:lineRule="exact" w:before="110"/>
              <w:ind w:left="200"/>
              <w:rPr>
                <w:b/>
                <w:sz w:val="20"/>
              </w:rPr>
            </w:pPr>
            <w:r>
              <w:rPr>
                <w:b/>
                <w:color w:val="0D0D0D"/>
                <w:sz w:val="20"/>
                <w:u w:val="thick" w:color="0D0D0D"/>
              </w:rPr>
              <w:t>Nominee Brokers</w:t>
            </w:r>
          </w:p>
        </w:tc>
        <w:tc>
          <w:tcPr>
            <w:tcW w:w="2984" w:type="dxa"/>
          </w:tcPr>
          <w:p>
            <w:pPr>
              <w:pStyle w:val="TableParagraph"/>
              <w:spacing w:line="214" w:lineRule="exact" w:before="110"/>
              <w:ind w:left="213"/>
              <w:rPr>
                <w:b/>
                <w:sz w:val="20"/>
              </w:rPr>
            </w:pPr>
            <w:r>
              <w:rPr>
                <w:b/>
                <w:color w:val="0D0D0D"/>
                <w:sz w:val="20"/>
                <w:u w:val="thick" w:color="0D0D0D"/>
              </w:rPr>
              <w:t>Nominee Broker</w:t>
            </w:r>
          </w:p>
        </w:tc>
        <w:tc>
          <w:tcPr>
            <w:tcW w:w="3081" w:type="dxa"/>
          </w:tcPr>
          <w:p>
            <w:pPr>
              <w:pStyle w:val="TableParagraph"/>
              <w:spacing w:line="214" w:lineRule="exact" w:before="110"/>
              <w:ind w:left="237"/>
              <w:rPr>
                <w:b/>
                <w:sz w:val="20"/>
              </w:rPr>
            </w:pPr>
            <w:r>
              <w:rPr>
                <w:b/>
                <w:color w:val="0D0D0D"/>
                <w:sz w:val="20"/>
                <w:u w:val="thick" w:color="0D0D0D"/>
              </w:rPr>
              <w:t>Nominee Broker</w:t>
            </w:r>
          </w:p>
        </w:tc>
      </w:tr>
      <w:tr>
        <w:trPr>
          <w:trHeight w:val="230" w:hRule="atLeast"/>
        </w:trPr>
        <w:tc>
          <w:tcPr>
            <w:tcW w:w="3100" w:type="dxa"/>
          </w:tcPr>
          <w:p>
            <w:pPr>
              <w:pStyle w:val="TableParagraph"/>
              <w:spacing w:line="210" w:lineRule="exact"/>
              <w:ind w:left="200"/>
              <w:rPr>
                <w:sz w:val="20"/>
              </w:rPr>
            </w:pPr>
            <w:r>
              <w:rPr>
                <w:sz w:val="20"/>
              </w:rPr>
              <w:t>Stephen Craig Wright</w:t>
            </w:r>
          </w:p>
        </w:tc>
        <w:tc>
          <w:tcPr>
            <w:tcW w:w="2984" w:type="dxa"/>
          </w:tcPr>
          <w:p>
            <w:pPr>
              <w:pStyle w:val="TableParagraph"/>
              <w:spacing w:line="210" w:lineRule="exact"/>
              <w:ind w:left="213"/>
              <w:rPr>
                <w:sz w:val="20"/>
              </w:rPr>
            </w:pPr>
            <w:r>
              <w:rPr>
                <w:color w:val="0D0D0D"/>
                <w:sz w:val="20"/>
              </w:rPr>
              <w:t>Gavin Mark Snelgar</w:t>
            </w:r>
          </w:p>
        </w:tc>
        <w:tc>
          <w:tcPr>
            <w:tcW w:w="3081" w:type="dxa"/>
          </w:tcPr>
          <w:p>
            <w:pPr>
              <w:pStyle w:val="TableParagraph"/>
              <w:spacing w:line="210" w:lineRule="exact"/>
              <w:ind w:left="237"/>
              <w:rPr>
                <w:sz w:val="20"/>
              </w:rPr>
            </w:pPr>
            <w:r>
              <w:rPr>
                <w:sz w:val="20"/>
              </w:rPr>
              <w:t>Aaron Searle Machner</w:t>
            </w:r>
          </w:p>
        </w:tc>
      </w:tr>
      <w:tr>
        <w:trPr>
          <w:trHeight w:val="230" w:hRule="atLeast"/>
        </w:trPr>
        <w:tc>
          <w:tcPr>
            <w:tcW w:w="3100" w:type="dxa"/>
          </w:tcPr>
          <w:p>
            <w:pPr>
              <w:pStyle w:val="TableParagraph"/>
              <w:spacing w:line="211" w:lineRule="exact"/>
              <w:ind w:left="200"/>
              <w:rPr>
                <w:sz w:val="20"/>
              </w:rPr>
            </w:pPr>
            <w:r>
              <w:rPr>
                <w:sz w:val="20"/>
              </w:rPr>
              <w:t>Michael Ian Daniels</w:t>
            </w:r>
          </w:p>
        </w:tc>
        <w:tc>
          <w:tcPr>
            <w:tcW w:w="2984" w:type="dxa"/>
          </w:tcPr>
          <w:p>
            <w:pPr>
              <w:pStyle w:val="TableParagraph"/>
              <w:rPr>
                <w:rFonts w:ascii="Times New Roman"/>
                <w:sz w:val="16"/>
              </w:rPr>
            </w:pPr>
          </w:p>
        </w:tc>
        <w:tc>
          <w:tcPr>
            <w:tcW w:w="3081" w:type="dxa"/>
          </w:tcPr>
          <w:p>
            <w:pPr>
              <w:pStyle w:val="TableParagraph"/>
              <w:rPr>
                <w:rFonts w:ascii="Times New Roman"/>
                <w:sz w:val="16"/>
              </w:rPr>
            </w:pPr>
          </w:p>
        </w:tc>
      </w:tr>
      <w:tr>
        <w:trPr>
          <w:trHeight w:val="229" w:hRule="atLeast"/>
        </w:trPr>
        <w:tc>
          <w:tcPr>
            <w:tcW w:w="3100" w:type="dxa"/>
          </w:tcPr>
          <w:p>
            <w:pPr>
              <w:pStyle w:val="TableParagraph"/>
              <w:spacing w:line="209" w:lineRule="exact"/>
              <w:ind w:left="200"/>
              <w:rPr>
                <w:sz w:val="20"/>
              </w:rPr>
            </w:pPr>
            <w:r>
              <w:rPr>
                <w:sz w:val="20"/>
              </w:rPr>
              <w:t>Simon David Blackburn</w:t>
            </w:r>
          </w:p>
        </w:tc>
        <w:tc>
          <w:tcPr>
            <w:tcW w:w="2984" w:type="dxa"/>
          </w:tcPr>
          <w:p>
            <w:pPr>
              <w:pStyle w:val="TableParagraph"/>
              <w:rPr>
                <w:rFonts w:ascii="Times New Roman"/>
                <w:sz w:val="16"/>
              </w:rPr>
            </w:pPr>
          </w:p>
        </w:tc>
        <w:tc>
          <w:tcPr>
            <w:tcW w:w="3081" w:type="dxa"/>
          </w:tcPr>
          <w:p>
            <w:pPr>
              <w:pStyle w:val="TableParagraph"/>
              <w:rPr>
                <w:rFonts w:ascii="Times New Roman"/>
                <w:sz w:val="16"/>
              </w:rPr>
            </w:pPr>
          </w:p>
        </w:tc>
      </w:tr>
      <w:tr>
        <w:trPr>
          <w:trHeight w:val="231" w:hRule="atLeast"/>
        </w:trPr>
        <w:tc>
          <w:tcPr>
            <w:tcW w:w="3100" w:type="dxa"/>
          </w:tcPr>
          <w:p>
            <w:pPr>
              <w:pStyle w:val="TableParagraph"/>
              <w:spacing w:line="212" w:lineRule="exact"/>
              <w:ind w:left="200"/>
              <w:rPr>
                <w:sz w:val="20"/>
              </w:rPr>
            </w:pPr>
            <w:r>
              <w:rPr>
                <w:sz w:val="20"/>
              </w:rPr>
              <w:t>Rodney William Luke</w:t>
            </w:r>
          </w:p>
        </w:tc>
        <w:tc>
          <w:tcPr>
            <w:tcW w:w="2984" w:type="dxa"/>
          </w:tcPr>
          <w:p>
            <w:pPr>
              <w:pStyle w:val="TableParagraph"/>
              <w:spacing w:line="212" w:lineRule="exact"/>
              <w:ind w:left="213"/>
              <w:rPr>
                <w:b/>
                <w:sz w:val="20"/>
              </w:rPr>
            </w:pPr>
            <w:r>
              <w:rPr>
                <w:b/>
                <w:color w:val="0D0D0D"/>
                <w:sz w:val="20"/>
                <w:u w:val="thick" w:color="0D0D0D"/>
              </w:rPr>
              <w:t>INDIVIDUALS</w:t>
            </w:r>
          </w:p>
        </w:tc>
        <w:tc>
          <w:tcPr>
            <w:tcW w:w="3081" w:type="dxa"/>
          </w:tcPr>
          <w:p>
            <w:pPr>
              <w:pStyle w:val="TableParagraph"/>
              <w:rPr>
                <w:rFonts w:ascii="Times New Roman"/>
                <w:sz w:val="16"/>
              </w:rPr>
            </w:pPr>
          </w:p>
        </w:tc>
      </w:tr>
      <w:tr>
        <w:trPr>
          <w:trHeight w:val="230" w:hRule="atLeast"/>
        </w:trPr>
        <w:tc>
          <w:tcPr>
            <w:tcW w:w="3100" w:type="dxa"/>
          </w:tcPr>
          <w:p>
            <w:pPr>
              <w:pStyle w:val="TableParagraph"/>
              <w:spacing w:line="210" w:lineRule="exact"/>
              <w:ind w:left="200"/>
              <w:rPr>
                <w:sz w:val="20"/>
              </w:rPr>
            </w:pPr>
            <w:r>
              <w:rPr>
                <w:sz w:val="20"/>
              </w:rPr>
              <w:t>Benjamin John Hammond</w:t>
            </w:r>
          </w:p>
        </w:tc>
        <w:tc>
          <w:tcPr>
            <w:tcW w:w="2984" w:type="dxa"/>
          </w:tcPr>
          <w:p>
            <w:pPr>
              <w:pStyle w:val="TableParagraph"/>
              <w:spacing w:line="210" w:lineRule="exact"/>
              <w:ind w:left="213"/>
              <w:rPr>
                <w:sz w:val="20"/>
              </w:rPr>
            </w:pPr>
            <w:r>
              <w:rPr>
                <w:sz w:val="20"/>
              </w:rPr>
              <w:t>Kenneth Hess</w:t>
            </w:r>
          </w:p>
        </w:tc>
        <w:tc>
          <w:tcPr>
            <w:tcW w:w="3081" w:type="dxa"/>
          </w:tcPr>
          <w:p>
            <w:pPr>
              <w:pStyle w:val="TableParagraph"/>
              <w:rPr>
                <w:rFonts w:ascii="Times New Roman"/>
                <w:sz w:val="16"/>
              </w:rPr>
            </w:pPr>
          </w:p>
        </w:tc>
      </w:tr>
      <w:tr>
        <w:trPr>
          <w:trHeight w:val="229" w:hRule="atLeast"/>
        </w:trPr>
        <w:tc>
          <w:tcPr>
            <w:tcW w:w="3100" w:type="dxa"/>
          </w:tcPr>
          <w:p>
            <w:pPr>
              <w:pStyle w:val="TableParagraph"/>
              <w:spacing w:line="209" w:lineRule="exact"/>
              <w:ind w:left="200"/>
              <w:rPr>
                <w:sz w:val="20"/>
              </w:rPr>
            </w:pPr>
            <w:r>
              <w:rPr>
                <w:sz w:val="20"/>
              </w:rPr>
              <w:t>Kent Gordon Heazlett</w:t>
            </w:r>
          </w:p>
        </w:tc>
        <w:tc>
          <w:tcPr>
            <w:tcW w:w="2984" w:type="dxa"/>
          </w:tcPr>
          <w:p>
            <w:pPr>
              <w:pStyle w:val="TableParagraph"/>
              <w:spacing w:line="209" w:lineRule="exact"/>
              <w:ind w:left="213"/>
              <w:rPr>
                <w:sz w:val="20"/>
              </w:rPr>
            </w:pPr>
            <w:r>
              <w:rPr>
                <w:sz w:val="20"/>
              </w:rPr>
              <w:t>Kane Reegan Hutchinson</w:t>
            </w:r>
          </w:p>
        </w:tc>
        <w:tc>
          <w:tcPr>
            <w:tcW w:w="3081" w:type="dxa"/>
          </w:tcPr>
          <w:p>
            <w:pPr>
              <w:pStyle w:val="TableParagraph"/>
              <w:rPr>
                <w:rFonts w:ascii="Times New Roman"/>
                <w:sz w:val="16"/>
              </w:rPr>
            </w:pPr>
          </w:p>
        </w:tc>
      </w:tr>
      <w:tr>
        <w:trPr>
          <w:trHeight w:val="229" w:hRule="atLeast"/>
        </w:trPr>
        <w:tc>
          <w:tcPr>
            <w:tcW w:w="3100" w:type="dxa"/>
          </w:tcPr>
          <w:p>
            <w:pPr>
              <w:pStyle w:val="TableParagraph"/>
              <w:rPr>
                <w:rFonts w:ascii="Times New Roman"/>
                <w:sz w:val="16"/>
              </w:rPr>
            </w:pPr>
          </w:p>
        </w:tc>
        <w:tc>
          <w:tcPr>
            <w:tcW w:w="2984" w:type="dxa"/>
          </w:tcPr>
          <w:p>
            <w:pPr>
              <w:pStyle w:val="TableParagraph"/>
              <w:spacing w:line="209" w:lineRule="exact"/>
              <w:ind w:left="213"/>
              <w:rPr>
                <w:sz w:val="20"/>
              </w:rPr>
            </w:pPr>
            <w:r>
              <w:rPr>
                <w:sz w:val="20"/>
              </w:rPr>
              <w:t>David Allen Curry</w:t>
            </w:r>
          </w:p>
        </w:tc>
        <w:tc>
          <w:tcPr>
            <w:tcW w:w="3081" w:type="dxa"/>
          </w:tcPr>
          <w:p>
            <w:pPr>
              <w:pStyle w:val="TableParagraph"/>
              <w:rPr>
                <w:rFonts w:ascii="Times New Roman"/>
                <w:sz w:val="16"/>
              </w:rPr>
            </w:pPr>
          </w:p>
        </w:tc>
      </w:tr>
      <w:tr>
        <w:trPr>
          <w:trHeight w:val="230" w:hRule="atLeast"/>
        </w:trPr>
        <w:tc>
          <w:tcPr>
            <w:tcW w:w="3100" w:type="dxa"/>
          </w:tcPr>
          <w:p>
            <w:pPr>
              <w:pStyle w:val="TableParagraph"/>
              <w:rPr>
                <w:rFonts w:ascii="Times New Roman"/>
                <w:sz w:val="16"/>
              </w:rPr>
            </w:pPr>
          </w:p>
        </w:tc>
        <w:tc>
          <w:tcPr>
            <w:tcW w:w="2984" w:type="dxa"/>
          </w:tcPr>
          <w:p>
            <w:pPr>
              <w:pStyle w:val="TableParagraph"/>
              <w:spacing w:line="210" w:lineRule="exact"/>
              <w:ind w:left="213"/>
              <w:rPr>
                <w:sz w:val="20"/>
              </w:rPr>
            </w:pPr>
            <w:r>
              <w:rPr>
                <w:sz w:val="20"/>
              </w:rPr>
              <w:t>Keith Anthony Harris</w:t>
            </w:r>
          </w:p>
        </w:tc>
        <w:tc>
          <w:tcPr>
            <w:tcW w:w="3081" w:type="dxa"/>
          </w:tcPr>
          <w:p>
            <w:pPr>
              <w:pStyle w:val="TableParagraph"/>
              <w:rPr>
                <w:rFonts w:ascii="Times New Roman"/>
                <w:sz w:val="16"/>
              </w:rPr>
            </w:pPr>
          </w:p>
        </w:tc>
      </w:tr>
      <w:tr>
        <w:trPr>
          <w:trHeight w:val="226" w:hRule="atLeast"/>
        </w:trPr>
        <w:tc>
          <w:tcPr>
            <w:tcW w:w="3100" w:type="dxa"/>
          </w:tcPr>
          <w:p>
            <w:pPr>
              <w:pStyle w:val="TableParagraph"/>
              <w:rPr>
                <w:rFonts w:ascii="Times New Roman"/>
                <w:sz w:val="16"/>
              </w:rPr>
            </w:pPr>
          </w:p>
        </w:tc>
        <w:tc>
          <w:tcPr>
            <w:tcW w:w="2984" w:type="dxa"/>
          </w:tcPr>
          <w:p>
            <w:pPr>
              <w:pStyle w:val="TableParagraph"/>
              <w:spacing w:line="206" w:lineRule="exact"/>
              <w:ind w:left="213"/>
              <w:rPr>
                <w:sz w:val="20"/>
              </w:rPr>
            </w:pPr>
            <w:r>
              <w:rPr>
                <w:sz w:val="20"/>
              </w:rPr>
              <w:t>Mark Short</w:t>
            </w:r>
          </w:p>
        </w:tc>
        <w:tc>
          <w:tcPr>
            <w:tcW w:w="3081" w:type="dxa"/>
          </w:tcPr>
          <w:p>
            <w:pPr>
              <w:pStyle w:val="TableParagraph"/>
              <w:rPr>
                <w:rFonts w:ascii="Times New Roman"/>
                <w:sz w:val="16"/>
              </w:rPr>
            </w:pPr>
          </w:p>
        </w:tc>
      </w:tr>
    </w:tbl>
    <w:p>
      <w:pPr>
        <w:pStyle w:val="BodyText"/>
        <w:spacing w:before="11"/>
        <w:rPr>
          <w:sz w:val="17"/>
        </w:rPr>
      </w:pPr>
    </w:p>
    <w:p>
      <w:pPr>
        <w:pStyle w:val="BodyText"/>
        <w:ind w:left="720" w:right="924"/>
      </w:pPr>
      <w:r>
        <w:rPr/>
        <w:t>Any person wishing to make written representation in respect of any of these applications should address the correspondence by 14 November 2017 to:</w:t>
      </w:r>
    </w:p>
    <w:p>
      <w:pPr>
        <w:pStyle w:val="BodyText"/>
        <w:spacing w:before="6"/>
      </w:pPr>
    </w:p>
    <w:tbl>
      <w:tblPr>
        <w:tblW w:w="0" w:type="auto"/>
        <w:jc w:val="left"/>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44"/>
        <w:gridCol w:w="5067"/>
      </w:tblGrid>
      <w:tr>
        <w:trPr>
          <w:trHeight w:val="822" w:hRule="atLeast"/>
        </w:trPr>
        <w:tc>
          <w:tcPr>
            <w:tcW w:w="3544" w:type="dxa"/>
          </w:tcPr>
          <w:p>
            <w:pPr>
              <w:pStyle w:val="TableParagraph"/>
              <w:ind w:left="200" w:right="1423"/>
              <w:rPr>
                <w:sz w:val="18"/>
              </w:rPr>
            </w:pPr>
            <w:r>
              <w:rPr>
                <w:sz w:val="18"/>
              </w:rPr>
              <w:t>Broker Licensing Australian Border Force 5 Constitution Avenue</w:t>
            </w:r>
          </w:p>
          <w:p>
            <w:pPr>
              <w:pStyle w:val="TableParagraph"/>
              <w:spacing w:line="187" w:lineRule="exact"/>
              <w:ind w:left="200"/>
              <w:rPr>
                <w:sz w:val="18"/>
              </w:rPr>
            </w:pPr>
            <w:r>
              <w:rPr>
                <w:sz w:val="18"/>
              </w:rPr>
              <w:t>CANBERRA ACT 2601</w:t>
            </w:r>
          </w:p>
        </w:tc>
        <w:tc>
          <w:tcPr>
            <w:tcW w:w="5067" w:type="dxa"/>
          </w:tcPr>
          <w:p>
            <w:pPr>
              <w:pStyle w:val="TableParagraph"/>
              <w:spacing w:before="1"/>
              <w:rPr>
                <w:sz w:val="24"/>
              </w:rPr>
            </w:pPr>
          </w:p>
          <w:p>
            <w:pPr>
              <w:pStyle w:val="TableParagraph"/>
              <w:ind w:left="1442"/>
              <w:rPr>
                <w:sz w:val="18"/>
              </w:rPr>
            </w:pPr>
            <w:r>
              <w:rPr>
                <w:sz w:val="18"/>
              </w:rPr>
              <w:t>Or email: </w:t>
            </w:r>
            <w:hyperlink r:id="rId6">
              <w:r>
                <w:rPr>
                  <w:color w:val="0000FF"/>
                  <w:sz w:val="18"/>
                  <w:u w:val="single" w:color="0000FF"/>
                </w:rPr>
                <w:t>brokers.licensing@border.gov.au</w:t>
              </w:r>
            </w:hyperlink>
          </w:p>
        </w:tc>
      </w:tr>
    </w:tbl>
    <w:p>
      <w:pPr>
        <w:pStyle w:val="BodyText"/>
        <w:rPr>
          <w:sz w:val="20"/>
        </w:rPr>
      </w:pPr>
    </w:p>
    <w:p>
      <w:pPr>
        <w:pStyle w:val="BodyText"/>
        <w:spacing w:before="130"/>
        <w:ind w:left="720" w:right="715"/>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w:t>
      </w:r>
      <w:r>
        <w:rPr>
          <w:spacing w:val="-13"/>
        </w:rPr>
        <w:t> </w:t>
      </w:r>
      <w:r>
        <w:rPr/>
        <w:t>representation.</w:t>
      </w:r>
    </w:p>
    <w:p>
      <w:pPr>
        <w:pStyle w:val="BodyText"/>
        <w:spacing w:line="410" w:lineRule="atLeast" w:before="124"/>
        <w:ind w:left="720" w:right="10319"/>
      </w:pPr>
      <w:r>
        <w:rPr/>
        <w:t>[signed] Lyn Foster</w:t>
      </w:r>
    </w:p>
    <w:p>
      <w:pPr>
        <w:pStyle w:val="BodyText"/>
        <w:spacing w:line="207" w:lineRule="exact" w:before="4"/>
        <w:ind w:left="720"/>
      </w:pPr>
      <w:r>
        <w:rPr/>
        <w:t>Acting Superintendent</w:t>
      </w:r>
    </w:p>
    <w:p>
      <w:pPr>
        <w:pStyle w:val="BodyText"/>
        <w:ind w:left="720" w:right="8258"/>
      </w:pPr>
      <w:r>
        <w:rPr/>
        <w:t>Trade and Goods Operational Policy CANBERRA ACT</w:t>
      </w:r>
    </w:p>
    <w:p>
      <w:pPr>
        <w:pStyle w:val="BodyText"/>
        <w:spacing w:before="1"/>
      </w:pPr>
    </w:p>
    <w:p>
      <w:pPr>
        <w:pStyle w:val="BodyText"/>
        <w:ind w:left="720"/>
      </w:pPr>
      <w:r>
        <w:rPr/>
        <w:t>26 October 2017</w:t>
      </w:r>
    </w:p>
    <w:sectPr>
      <w:type w:val="continuous"/>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8"/>
      <w:szCs w:val="18"/>
      <w:lang w:val="en-US" w:eastAsia="en-US" w:bidi="ar-SA"/>
    </w:rPr>
  </w:style>
  <w:style w:styleId="Title" w:type="paragraph">
    <w:name w:val="Title"/>
    <w:basedOn w:val="Normal"/>
    <w:uiPriority w:val="1"/>
    <w:qFormat/>
    <w:pPr>
      <w:spacing w:before="92"/>
      <w:ind w:left="1238"/>
    </w:pPr>
    <w:rPr>
      <w:rFonts w:ascii="Arial" w:hAnsi="Arial" w:eastAsia="Arial" w:cs="Arial"/>
      <w:b/>
      <w:b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border.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cp:keywords>Customs Broker Licence</cp:keywords>
  <dc:subject>DIBP Notice 2017/31</dc:subject>
  <dc:title>Applications for Customs Broker Licence</dc:title>
  <dcterms:created xsi:type="dcterms:W3CDTF">2020-12-09T23:02:43Z</dcterms:created>
  <dcterms:modified xsi:type="dcterms:W3CDTF">2020-12-09T23:02:43Z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2017-10-26T00:00:00Z</vt:filetime>
  </property>
  <property fmtid="{D5CDD505-2E9C-101B-9397-08002B2CF9AE}" pid="3" name="Creator">
    <vt:lpwstr>Microsoft® Word 2016</vt:lpwstr>
  </property>
  <property fmtid="{D5CDD505-2E9C-101B-9397-08002B2CF9AE}" pid="4" name="LastSaved">
    <vt:filetime>2020-12-09T00:00:00Z</vt:filetime>
  </property>
</Properties>
</file>