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3"/>
        <w:rPr>
          <w:rFonts w:ascii="Times New Roman"/>
          <w:sz w:val="17"/>
        </w:rPr>
      </w:pPr>
    </w:p>
    <w:p>
      <w:pPr>
        <w:pStyle w:val="Title"/>
      </w:pPr>
      <w:r>
        <w:rPr/>
        <w:drawing>
          <wp:anchor distT="0" distB="0" distL="0" distR="0" allowOverlap="1" layoutInCell="1" locked="0" behindDoc="0" simplePos="0" relativeHeight="15729152">
            <wp:simplePos x="0" y="0"/>
            <wp:positionH relativeFrom="page">
              <wp:posOffset>0</wp:posOffset>
            </wp:positionH>
            <wp:positionV relativeFrom="paragraph">
              <wp:posOffset>-1294028</wp:posOffset>
            </wp:positionV>
            <wp:extent cx="7560564" cy="1109217"/>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60564" cy="1109217"/>
                    </a:xfrm>
                    <a:prstGeom prst="rect">
                      <a:avLst/>
                    </a:prstGeom>
                  </pic:spPr>
                </pic:pic>
              </a:graphicData>
            </a:graphic>
          </wp:anchor>
        </w:drawing>
      </w:r>
      <w:r>
        <w:rPr/>
        <w:t>DEPARTMENT OF IMMIGRATION AND BORDER PROTECTION NOTICE</w:t>
      </w:r>
    </w:p>
    <w:p>
      <w:pPr>
        <w:pStyle w:val="Title"/>
        <w:spacing w:before="202"/>
        <w:ind w:left="3376" w:right="2925"/>
        <w:jc w:val="center"/>
      </w:pPr>
      <w:r>
        <w:rPr/>
        <w:pict>
          <v:rect style="position:absolute;margin-left:55.919998pt;margin-top:30.31181pt;width:506.04pt;height:.48pt;mso-position-horizontal-relative:page;mso-position-vertical-relative:paragraph;z-index:-15728640;mso-wrap-distance-left:0;mso-wrap-distance-right:0" filled="true" fillcolor="#4f81bd" stroked="false">
            <v:fill type="solid"/>
            <w10:wrap type="topAndBottom"/>
          </v:rect>
        </w:pict>
      </w:r>
      <w:r>
        <w:rPr/>
        <w:t>No. 2017/34</w:t>
      </w:r>
    </w:p>
    <w:p>
      <w:pPr>
        <w:pStyle w:val="BodyText"/>
        <w:spacing w:before="7"/>
        <w:rPr>
          <w:b/>
          <w:sz w:val="13"/>
        </w:rPr>
      </w:pPr>
    </w:p>
    <w:p>
      <w:pPr>
        <w:spacing w:before="91"/>
        <w:ind w:left="3376" w:right="3378" w:firstLine="0"/>
        <w:jc w:val="center"/>
        <w:rPr>
          <w:b/>
          <w:sz w:val="26"/>
        </w:rPr>
      </w:pPr>
      <w:bookmarkStart w:name="Applications for Customs Broker Licence" w:id="1"/>
      <w:bookmarkEnd w:id="1"/>
      <w:r>
        <w:rPr/>
      </w:r>
      <w:r>
        <w:rPr>
          <w:b/>
          <w:sz w:val="26"/>
        </w:rPr>
        <w:t>Applications for Customs Broker Licence</w:t>
      </w:r>
    </w:p>
    <w:p>
      <w:pPr>
        <w:pStyle w:val="BodyText"/>
        <w:spacing w:before="7"/>
        <w:rPr>
          <w:b/>
          <w:sz w:val="24"/>
        </w:rPr>
      </w:pPr>
    </w:p>
    <w:p>
      <w:pPr>
        <w:pStyle w:val="BodyText"/>
        <w:ind w:left="720" w:right="1031"/>
      </w:pPr>
      <w:r>
        <w:rPr/>
        <w:t>The following individuals and companies have applied to the Comptroller-General of Customs for a customs broker licence.</w:t>
      </w:r>
    </w:p>
    <w:p>
      <w:pPr>
        <w:pStyle w:val="BodyText"/>
        <w:spacing w:before="5"/>
        <w:rPr>
          <w:sz w:val="22"/>
        </w:rPr>
      </w:pPr>
    </w:p>
    <w:tbl>
      <w:tblPr>
        <w:tblW w:w="0" w:type="auto"/>
        <w:jc w:val="left"/>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42"/>
        <w:gridCol w:w="3254"/>
        <w:gridCol w:w="3736"/>
      </w:tblGrid>
      <w:tr>
        <w:trPr>
          <w:trHeight w:val="228" w:hRule="atLeast"/>
        </w:trPr>
        <w:tc>
          <w:tcPr>
            <w:tcW w:w="3542" w:type="dxa"/>
          </w:tcPr>
          <w:p>
            <w:pPr>
              <w:pStyle w:val="TableParagraph"/>
              <w:spacing w:line="208" w:lineRule="exact"/>
              <w:rPr>
                <w:b/>
                <w:sz w:val="20"/>
              </w:rPr>
            </w:pPr>
            <w:r>
              <w:rPr>
                <w:b/>
                <w:color w:val="050505"/>
                <w:sz w:val="20"/>
                <w:u w:val="thick" w:color="050505"/>
              </w:rPr>
              <w:t>COMPANY</w:t>
            </w:r>
          </w:p>
        </w:tc>
        <w:tc>
          <w:tcPr>
            <w:tcW w:w="3254" w:type="dxa"/>
          </w:tcPr>
          <w:p>
            <w:pPr>
              <w:pStyle w:val="TableParagraph"/>
              <w:spacing w:line="208" w:lineRule="exact"/>
              <w:ind w:left="198"/>
              <w:rPr>
                <w:b/>
                <w:sz w:val="20"/>
              </w:rPr>
            </w:pPr>
            <w:r>
              <w:rPr>
                <w:b/>
                <w:color w:val="050505"/>
                <w:sz w:val="20"/>
                <w:u w:val="thick" w:color="050505"/>
              </w:rPr>
              <w:t>COMPANY</w:t>
            </w:r>
          </w:p>
        </w:tc>
        <w:tc>
          <w:tcPr>
            <w:tcW w:w="3736" w:type="dxa"/>
          </w:tcPr>
          <w:p>
            <w:pPr>
              <w:pStyle w:val="TableParagraph"/>
              <w:spacing w:line="208" w:lineRule="exact"/>
              <w:ind w:left="188"/>
              <w:rPr>
                <w:b/>
                <w:sz w:val="20"/>
              </w:rPr>
            </w:pPr>
            <w:r>
              <w:rPr>
                <w:b/>
                <w:color w:val="050505"/>
                <w:sz w:val="20"/>
                <w:u w:val="thick" w:color="050505"/>
              </w:rPr>
              <w:t>COMPANY</w:t>
            </w:r>
          </w:p>
        </w:tc>
      </w:tr>
      <w:tr>
        <w:trPr>
          <w:trHeight w:val="345" w:hRule="atLeast"/>
        </w:trPr>
        <w:tc>
          <w:tcPr>
            <w:tcW w:w="3542" w:type="dxa"/>
          </w:tcPr>
          <w:p>
            <w:pPr>
              <w:pStyle w:val="TableParagraph"/>
              <w:spacing w:line="227" w:lineRule="exact"/>
              <w:rPr>
                <w:sz w:val="20"/>
              </w:rPr>
            </w:pPr>
            <w:r>
              <w:rPr>
                <w:sz w:val="20"/>
              </w:rPr>
              <w:t>Rhenus Logistics Australia Pty. Ltd.</w:t>
            </w:r>
          </w:p>
        </w:tc>
        <w:tc>
          <w:tcPr>
            <w:tcW w:w="3254" w:type="dxa"/>
          </w:tcPr>
          <w:p>
            <w:pPr>
              <w:pStyle w:val="TableParagraph"/>
              <w:spacing w:line="227" w:lineRule="exact"/>
              <w:ind w:left="198"/>
              <w:rPr>
                <w:sz w:val="20"/>
              </w:rPr>
            </w:pPr>
            <w:r>
              <w:rPr>
                <w:sz w:val="20"/>
              </w:rPr>
              <w:t>Ligentia Australia Pty. Ltd.</w:t>
            </w:r>
          </w:p>
        </w:tc>
        <w:tc>
          <w:tcPr>
            <w:tcW w:w="3736" w:type="dxa"/>
          </w:tcPr>
          <w:p>
            <w:pPr>
              <w:pStyle w:val="TableParagraph"/>
              <w:spacing w:line="227" w:lineRule="exact"/>
              <w:ind w:left="188"/>
              <w:rPr>
                <w:sz w:val="20"/>
              </w:rPr>
            </w:pPr>
            <w:r>
              <w:rPr>
                <w:sz w:val="20"/>
              </w:rPr>
              <w:t>ECU Worldwide Australia Pty Ltd</w:t>
            </w:r>
          </w:p>
        </w:tc>
      </w:tr>
      <w:tr>
        <w:trPr>
          <w:trHeight w:val="459" w:hRule="atLeast"/>
        </w:trPr>
        <w:tc>
          <w:tcPr>
            <w:tcW w:w="3542" w:type="dxa"/>
          </w:tcPr>
          <w:p>
            <w:pPr>
              <w:pStyle w:val="TableParagraph"/>
              <w:spacing w:before="110"/>
              <w:rPr>
                <w:sz w:val="20"/>
              </w:rPr>
            </w:pPr>
            <w:r>
              <w:rPr>
                <w:sz w:val="20"/>
              </w:rPr>
              <w:t>ABN 93 619 211 595</w:t>
            </w:r>
          </w:p>
        </w:tc>
        <w:tc>
          <w:tcPr>
            <w:tcW w:w="3254" w:type="dxa"/>
          </w:tcPr>
          <w:p>
            <w:pPr>
              <w:pStyle w:val="TableParagraph"/>
              <w:spacing w:before="110"/>
              <w:ind w:left="198"/>
              <w:rPr>
                <w:sz w:val="20"/>
              </w:rPr>
            </w:pPr>
            <w:r>
              <w:rPr>
                <w:sz w:val="20"/>
              </w:rPr>
              <w:t>13 158 643 648</w:t>
            </w:r>
          </w:p>
        </w:tc>
        <w:tc>
          <w:tcPr>
            <w:tcW w:w="3736" w:type="dxa"/>
          </w:tcPr>
          <w:p>
            <w:pPr>
              <w:pStyle w:val="TableParagraph"/>
              <w:spacing w:before="110"/>
              <w:ind w:left="188"/>
              <w:rPr>
                <w:sz w:val="20"/>
              </w:rPr>
            </w:pPr>
            <w:r>
              <w:rPr>
                <w:sz w:val="20"/>
              </w:rPr>
              <w:t>11 095 072 334</w:t>
            </w:r>
          </w:p>
        </w:tc>
      </w:tr>
      <w:tr>
        <w:trPr>
          <w:trHeight w:val="345" w:hRule="atLeast"/>
        </w:trPr>
        <w:tc>
          <w:tcPr>
            <w:tcW w:w="3542" w:type="dxa"/>
          </w:tcPr>
          <w:p>
            <w:pPr>
              <w:pStyle w:val="TableParagraph"/>
              <w:spacing w:line="214" w:lineRule="exact" w:before="112"/>
              <w:rPr>
                <w:sz w:val="20"/>
              </w:rPr>
            </w:pPr>
            <w:r>
              <w:rPr>
                <w:sz w:val="20"/>
              </w:rPr>
              <w:t>114-118 Capel Street</w:t>
            </w:r>
          </w:p>
        </w:tc>
        <w:tc>
          <w:tcPr>
            <w:tcW w:w="3254" w:type="dxa"/>
          </w:tcPr>
          <w:p>
            <w:pPr>
              <w:pStyle w:val="TableParagraph"/>
              <w:spacing w:line="214" w:lineRule="exact" w:before="112"/>
              <w:ind w:left="198"/>
              <w:rPr>
                <w:sz w:val="20"/>
              </w:rPr>
            </w:pPr>
            <w:r>
              <w:rPr>
                <w:sz w:val="20"/>
              </w:rPr>
              <w:t>Suite 54, 919-925 Nudgee Road</w:t>
            </w:r>
          </w:p>
        </w:tc>
        <w:tc>
          <w:tcPr>
            <w:tcW w:w="3736" w:type="dxa"/>
          </w:tcPr>
          <w:p>
            <w:pPr>
              <w:pStyle w:val="TableParagraph"/>
              <w:spacing w:line="214" w:lineRule="exact" w:before="112"/>
              <w:ind w:left="188"/>
              <w:rPr>
                <w:sz w:val="20"/>
              </w:rPr>
            </w:pPr>
            <w:r>
              <w:rPr>
                <w:sz w:val="20"/>
              </w:rPr>
              <w:t>Suite 2, 35-37 Tullamarine Park Road</w:t>
            </w:r>
          </w:p>
        </w:tc>
      </w:tr>
      <w:tr>
        <w:trPr>
          <w:trHeight w:val="344" w:hRule="atLeast"/>
        </w:trPr>
        <w:tc>
          <w:tcPr>
            <w:tcW w:w="3542" w:type="dxa"/>
          </w:tcPr>
          <w:p>
            <w:pPr>
              <w:pStyle w:val="TableParagraph"/>
              <w:spacing w:line="227" w:lineRule="exact"/>
              <w:rPr>
                <w:sz w:val="20"/>
              </w:rPr>
            </w:pPr>
            <w:r>
              <w:rPr>
                <w:sz w:val="20"/>
              </w:rPr>
              <w:t>North Melbourne VIC 3051</w:t>
            </w:r>
          </w:p>
        </w:tc>
        <w:tc>
          <w:tcPr>
            <w:tcW w:w="3254" w:type="dxa"/>
          </w:tcPr>
          <w:p>
            <w:pPr>
              <w:pStyle w:val="TableParagraph"/>
              <w:spacing w:line="227" w:lineRule="exact"/>
              <w:ind w:left="198"/>
              <w:rPr>
                <w:sz w:val="20"/>
              </w:rPr>
            </w:pPr>
            <w:r>
              <w:rPr>
                <w:sz w:val="20"/>
              </w:rPr>
              <w:t>Banyo QLD 4014</w:t>
            </w:r>
          </w:p>
        </w:tc>
        <w:tc>
          <w:tcPr>
            <w:tcW w:w="3736" w:type="dxa"/>
          </w:tcPr>
          <w:p>
            <w:pPr>
              <w:pStyle w:val="TableParagraph"/>
              <w:spacing w:line="227" w:lineRule="exact"/>
              <w:ind w:left="188"/>
              <w:rPr>
                <w:sz w:val="20"/>
              </w:rPr>
            </w:pPr>
            <w:r>
              <w:rPr>
                <w:sz w:val="20"/>
              </w:rPr>
              <w:t>Tullamarine VIC 3043</w:t>
            </w:r>
          </w:p>
        </w:tc>
      </w:tr>
      <w:tr>
        <w:trPr>
          <w:trHeight w:val="344" w:hRule="atLeast"/>
        </w:trPr>
        <w:tc>
          <w:tcPr>
            <w:tcW w:w="3542" w:type="dxa"/>
          </w:tcPr>
          <w:p>
            <w:pPr>
              <w:pStyle w:val="TableParagraph"/>
              <w:spacing w:line="214" w:lineRule="exact" w:before="110"/>
              <w:rPr>
                <w:b/>
                <w:sz w:val="20"/>
              </w:rPr>
            </w:pPr>
            <w:r>
              <w:rPr>
                <w:b/>
                <w:color w:val="050505"/>
                <w:sz w:val="20"/>
                <w:u w:val="thick" w:color="050505"/>
              </w:rPr>
              <w:t>Persons in Authority</w:t>
            </w:r>
          </w:p>
        </w:tc>
        <w:tc>
          <w:tcPr>
            <w:tcW w:w="3254" w:type="dxa"/>
          </w:tcPr>
          <w:p>
            <w:pPr>
              <w:pStyle w:val="TableParagraph"/>
              <w:spacing w:line="214" w:lineRule="exact" w:before="110"/>
              <w:ind w:left="198"/>
              <w:rPr>
                <w:b/>
                <w:sz w:val="20"/>
              </w:rPr>
            </w:pPr>
            <w:r>
              <w:rPr>
                <w:b/>
                <w:color w:val="050505"/>
                <w:sz w:val="20"/>
                <w:u w:val="thick" w:color="050505"/>
              </w:rPr>
              <w:t>Persons in Authority</w:t>
            </w:r>
          </w:p>
        </w:tc>
        <w:tc>
          <w:tcPr>
            <w:tcW w:w="3736" w:type="dxa"/>
          </w:tcPr>
          <w:p>
            <w:pPr>
              <w:pStyle w:val="TableParagraph"/>
              <w:spacing w:line="214" w:lineRule="exact" w:before="110"/>
              <w:ind w:left="188"/>
              <w:rPr>
                <w:b/>
                <w:sz w:val="20"/>
              </w:rPr>
            </w:pPr>
            <w:r>
              <w:rPr>
                <w:b/>
                <w:color w:val="050505"/>
                <w:sz w:val="20"/>
                <w:u w:val="thick" w:color="050505"/>
              </w:rPr>
              <w:t>Persons in Authority</w:t>
            </w:r>
          </w:p>
        </w:tc>
      </w:tr>
      <w:tr>
        <w:trPr>
          <w:trHeight w:val="229" w:hRule="atLeast"/>
        </w:trPr>
        <w:tc>
          <w:tcPr>
            <w:tcW w:w="3542" w:type="dxa"/>
          </w:tcPr>
          <w:p>
            <w:pPr>
              <w:pStyle w:val="TableParagraph"/>
              <w:spacing w:line="210" w:lineRule="exact"/>
              <w:rPr>
                <w:sz w:val="20"/>
              </w:rPr>
            </w:pPr>
            <w:r>
              <w:rPr>
                <w:sz w:val="20"/>
              </w:rPr>
              <w:t>Shane Kevin O’Brien</w:t>
            </w:r>
          </w:p>
        </w:tc>
        <w:tc>
          <w:tcPr>
            <w:tcW w:w="3254" w:type="dxa"/>
          </w:tcPr>
          <w:p>
            <w:pPr>
              <w:pStyle w:val="TableParagraph"/>
              <w:spacing w:line="210" w:lineRule="exact"/>
              <w:ind w:left="198"/>
              <w:rPr>
                <w:sz w:val="20"/>
              </w:rPr>
            </w:pPr>
            <w:r>
              <w:rPr>
                <w:color w:val="050505"/>
                <w:sz w:val="20"/>
              </w:rPr>
              <w:t>Richard Nicholas Rostron Jones</w:t>
            </w:r>
          </w:p>
        </w:tc>
        <w:tc>
          <w:tcPr>
            <w:tcW w:w="3736" w:type="dxa"/>
          </w:tcPr>
          <w:p>
            <w:pPr>
              <w:pStyle w:val="TableParagraph"/>
              <w:spacing w:line="210" w:lineRule="exact"/>
              <w:ind w:left="188"/>
              <w:rPr>
                <w:sz w:val="20"/>
              </w:rPr>
            </w:pPr>
            <w:r>
              <w:rPr>
                <w:color w:val="050505"/>
                <w:sz w:val="20"/>
              </w:rPr>
              <w:t>Mark Goodwin</w:t>
            </w:r>
          </w:p>
        </w:tc>
      </w:tr>
      <w:tr>
        <w:trPr>
          <w:trHeight w:val="230" w:hRule="atLeast"/>
        </w:trPr>
        <w:tc>
          <w:tcPr>
            <w:tcW w:w="3542" w:type="dxa"/>
          </w:tcPr>
          <w:p>
            <w:pPr>
              <w:pStyle w:val="TableParagraph"/>
              <w:spacing w:line="210" w:lineRule="exact"/>
              <w:rPr>
                <w:sz w:val="20"/>
              </w:rPr>
            </w:pPr>
            <w:r>
              <w:rPr>
                <w:sz w:val="20"/>
              </w:rPr>
              <w:t>James Trent Schoeffer</w:t>
            </w:r>
          </w:p>
        </w:tc>
        <w:tc>
          <w:tcPr>
            <w:tcW w:w="3254" w:type="dxa"/>
          </w:tcPr>
          <w:p>
            <w:pPr>
              <w:pStyle w:val="TableParagraph"/>
              <w:spacing w:line="210" w:lineRule="exact"/>
              <w:ind w:left="198"/>
              <w:rPr>
                <w:sz w:val="20"/>
              </w:rPr>
            </w:pPr>
            <w:r>
              <w:rPr>
                <w:sz w:val="20"/>
              </w:rPr>
              <w:t>Rakesh Kumar Manibhai Patel</w:t>
            </w:r>
          </w:p>
        </w:tc>
        <w:tc>
          <w:tcPr>
            <w:tcW w:w="3736" w:type="dxa"/>
          </w:tcPr>
          <w:p>
            <w:pPr>
              <w:pStyle w:val="TableParagraph"/>
              <w:spacing w:line="210" w:lineRule="exact"/>
              <w:ind w:left="188"/>
              <w:rPr>
                <w:sz w:val="20"/>
              </w:rPr>
            </w:pPr>
            <w:r>
              <w:rPr>
                <w:sz w:val="20"/>
              </w:rPr>
              <w:t>Gavin Armstrong</w:t>
            </w:r>
          </w:p>
        </w:tc>
      </w:tr>
      <w:tr>
        <w:trPr>
          <w:trHeight w:val="230" w:hRule="atLeast"/>
        </w:trPr>
        <w:tc>
          <w:tcPr>
            <w:tcW w:w="3542" w:type="dxa"/>
          </w:tcPr>
          <w:p>
            <w:pPr>
              <w:pStyle w:val="TableParagraph"/>
              <w:spacing w:line="210" w:lineRule="exact"/>
              <w:rPr>
                <w:sz w:val="20"/>
              </w:rPr>
            </w:pPr>
            <w:r>
              <w:rPr>
                <w:sz w:val="20"/>
              </w:rPr>
              <w:t>Jan Philipp Georg Harnisch</w:t>
            </w:r>
          </w:p>
        </w:tc>
        <w:tc>
          <w:tcPr>
            <w:tcW w:w="3254" w:type="dxa"/>
          </w:tcPr>
          <w:p>
            <w:pPr>
              <w:pStyle w:val="TableParagraph"/>
              <w:spacing w:line="210" w:lineRule="exact"/>
              <w:ind w:left="198"/>
              <w:rPr>
                <w:sz w:val="20"/>
              </w:rPr>
            </w:pPr>
            <w:r>
              <w:rPr>
                <w:sz w:val="20"/>
              </w:rPr>
              <w:t>Dean Neville</w:t>
            </w:r>
          </w:p>
        </w:tc>
        <w:tc>
          <w:tcPr>
            <w:tcW w:w="3736" w:type="dxa"/>
          </w:tcPr>
          <w:p>
            <w:pPr>
              <w:pStyle w:val="TableParagraph"/>
              <w:ind w:left="0"/>
              <w:rPr>
                <w:rFonts w:ascii="Times New Roman"/>
                <w:sz w:val="16"/>
              </w:rPr>
            </w:pPr>
          </w:p>
        </w:tc>
      </w:tr>
      <w:tr>
        <w:trPr>
          <w:trHeight w:val="344" w:hRule="atLeast"/>
        </w:trPr>
        <w:tc>
          <w:tcPr>
            <w:tcW w:w="3542" w:type="dxa"/>
          </w:tcPr>
          <w:p>
            <w:pPr>
              <w:pStyle w:val="TableParagraph"/>
              <w:spacing w:line="227" w:lineRule="exact"/>
              <w:rPr>
                <w:sz w:val="20"/>
              </w:rPr>
            </w:pPr>
            <w:r>
              <w:rPr>
                <w:sz w:val="20"/>
              </w:rPr>
              <w:t>Ivan Willy Alice Van Eetvelt</w:t>
            </w:r>
          </w:p>
        </w:tc>
        <w:tc>
          <w:tcPr>
            <w:tcW w:w="3254" w:type="dxa"/>
          </w:tcPr>
          <w:p>
            <w:pPr>
              <w:pStyle w:val="TableParagraph"/>
              <w:ind w:left="0"/>
              <w:rPr>
                <w:rFonts w:ascii="Times New Roman"/>
                <w:sz w:val="20"/>
              </w:rPr>
            </w:pPr>
          </w:p>
        </w:tc>
        <w:tc>
          <w:tcPr>
            <w:tcW w:w="3736" w:type="dxa"/>
          </w:tcPr>
          <w:p>
            <w:pPr>
              <w:pStyle w:val="TableParagraph"/>
              <w:ind w:left="0"/>
              <w:rPr>
                <w:rFonts w:ascii="Times New Roman"/>
                <w:sz w:val="20"/>
              </w:rPr>
            </w:pPr>
          </w:p>
        </w:tc>
      </w:tr>
      <w:tr>
        <w:trPr>
          <w:trHeight w:val="344" w:hRule="atLeast"/>
        </w:trPr>
        <w:tc>
          <w:tcPr>
            <w:tcW w:w="3542" w:type="dxa"/>
          </w:tcPr>
          <w:p>
            <w:pPr>
              <w:pStyle w:val="TableParagraph"/>
              <w:spacing w:line="214" w:lineRule="exact" w:before="110"/>
              <w:rPr>
                <w:b/>
                <w:sz w:val="20"/>
              </w:rPr>
            </w:pPr>
            <w:r>
              <w:rPr>
                <w:b/>
                <w:color w:val="050505"/>
                <w:sz w:val="20"/>
                <w:u w:val="thick" w:color="050505"/>
              </w:rPr>
              <w:t>Nominee Brokers</w:t>
            </w:r>
          </w:p>
        </w:tc>
        <w:tc>
          <w:tcPr>
            <w:tcW w:w="3254" w:type="dxa"/>
          </w:tcPr>
          <w:p>
            <w:pPr>
              <w:pStyle w:val="TableParagraph"/>
              <w:spacing w:line="214" w:lineRule="exact" w:before="110"/>
              <w:ind w:left="198"/>
              <w:rPr>
                <w:b/>
                <w:sz w:val="20"/>
              </w:rPr>
            </w:pPr>
            <w:r>
              <w:rPr>
                <w:b/>
                <w:color w:val="050505"/>
                <w:sz w:val="20"/>
                <w:u w:val="thick" w:color="050505"/>
              </w:rPr>
              <w:t>Nominee Broker</w:t>
            </w:r>
          </w:p>
        </w:tc>
        <w:tc>
          <w:tcPr>
            <w:tcW w:w="3736" w:type="dxa"/>
          </w:tcPr>
          <w:p>
            <w:pPr>
              <w:pStyle w:val="TableParagraph"/>
              <w:spacing w:line="214" w:lineRule="exact" w:before="110"/>
              <w:ind w:left="188"/>
              <w:rPr>
                <w:b/>
                <w:sz w:val="20"/>
              </w:rPr>
            </w:pPr>
            <w:r>
              <w:rPr>
                <w:b/>
                <w:color w:val="050505"/>
                <w:sz w:val="20"/>
                <w:u w:val="thick" w:color="050505"/>
              </w:rPr>
              <w:t>Nominee Broker</w:t>
            </w:r>
          </w:p>
        </w:tc>
      </w:tr>
      <w:tr>
        <w:trPr>
          <w:trHeight w:val="229" w:hRule="atLeast"/>
        </w:trPr>
        <w:tc>
          <w:tcPr>
            <w:tcW w:w="3542" w:type="dxa"/>
          </w:tcPr>
          <w:p>
            <w:pPr>
              <w:pStyle w:val="TableParagraph"/>
              <w:spacing w:line="210" w:lineRule="exact"/>
              <w:rPr>
                <w:sz w:val="20"/>
              </w:rPr>
            </w:pPr>
            <w:r>
              <w:rPr>
                <w:sz w:val="20"/>
              </w:rPr>
              <w:t>Shane Kevin O’Brien</w:t>
            </w:r>
          </w:p>
        </w:tc>
        <w:tc>
          <w:tcPr>
            <w:tcW w:w="3254" w:type="dxa"/>
          </w:tcPr>
          <w:p>
            <w:pPr>
              <w:pStyle w:val="TableParagraph"/>
              <w:spacing w:line="210" w:lineRule="exact"/>
              <w:ind w:left="198"/>
              <w:rPr>
                <w:sz w:val="20"/>
              </w:rPr>
            </w:pPr>
            <w:r>
              <w:rPr>
                <w:sz w:val="20"/>
              </w:rPr>
              <w:t>David Alexander Andrews</w:t>
            </w:r>
          </w:p>
        </w:tc>
        <w:tc>
          <w:tcPr>
            <w:tcW w:w="3736" w:type="dxa"/>
          </w:tcPr>
          <w:p>
            <w:pPr>
              <w:pStyle w:val="TableParagraph"/>
              <w:spacing w:line="210" w:lineRule="exact"/>
              <w:ind w:left="188"/>
              <w:rPr>
                <w:sz w:val="20"/>
              </w:rPr>
            </w:pPr>
            <w:r>
              <w:rPr>
                <w:color w:val="050505"/>
                <w:sz w:val="20"/>
              </w:rPr>
              <w:t>Mark Goodwin</w:t>
            </w:r>
          </w:p>
        </w:tc>
      </w:tr>
      <w:tr>
        <w:trPr>
          <w:trHeight w:val="230" w:hRule="atLeast"/>
        </w:trPr>
        <w:tc>
          <w:tcPr>
            <w:tcW w:w="3542" w:type="dxa"/>
          </w:tcPr>
          <w:p>
            <w:pPr>
              <w:pStyle w:val="TableParagraph"/>
              <w:spacing w:line="210" w:lineRule="exact"/>
              <w:rPr>
                <w:sz w:val="20"/>
              </w:rPr>
            </w:pPr>
            <w:r>
              <w:rPr>
                <w:sz w:val="20"/>
              </w:rPr>
              <w:t>Jan Louise O’Brien</w:t>
            </w:r>
          </w:p>
        </w:tc>
        <w:tc>
          <w:tcPr>
            <w:tcW w:w="3254" w:type="dxa"/>
          </w:tcPr>
          <w:p>
            <w:pPr>
              <w:pStyle w:val="TableParagraph"/>
              <w:ind w:left="0"/>
              <w:rPr>
                <w:rFonts w:ascii="Times New Roman"/>
                <w:sz w:val="16"/>
              </w:rPr>
            </w:pPr>
          </w:p>
        </w:tc>
        <w:tc>
          <w:tcPr>
            <w:tcW w:w="3736" w:type="dxa"/>
          </w:tcPr>
          <w:p>
            <w:pPr>
              <w:pStyle w:val="TableParagraph"/>
              <w:ind w:left="0"/>
              <w:rPr>
                <w:rFonts w:ascii="Times New Roman"/>
                <w:sz w:val="16"/>
              </w:rPr>
            </w:pPr>
          </w:p>
        </w:tc>
      </w:tr>
      <w:tr>
        <w:trPr>
          <w:trHeight w:val="229" w:hRule="atLeast"/>
        </w:trPr>
        <w:tc>
          <w:tcPr>
            <w:tcW w:w="3542" w:type="dxa"/>
          </w:tcPr>
          <w:p>
            <w:pPr>
              <w:pStyle w:val="TableParagraph"/>
              <w:spacing w:line="209" w:lineRule="exact"/>
              <w:rPr>
                <w:sz w:val="20"/>
              </w:rPr>
            </w:pPr>
            <w:r>
              <w:rPr>
                <w:sz w:val="20"/>
              </w:rPr>
              <w:t>Mark Allen Jackson</w:t>
            </w:r>
          </w:p>
        </w:tc>
        <w:tc>
          <w:tcPr>
            <w:tcW w:w="3254" w:type="dxa"/>
          </w:tcPr>
          <w:p>
            <w:pPr>
              <w:pStyle w:val="TableParagraph"/>
              <w:ind w:left="0"/>
              <w:rPr>
                <w:rFonts w:ascii="Times New Roman"/>
                <w:sz w:val="16"/>
              </w:rPr>
            </w:pPr>
          </w:p>
        </w:tc>
        <w:tc>
          <w:tcPr>
            <w:tcW w:w="3736" w:type="dxa"/>
          </w:tcPr>
          <w:p>
            <w:pPr>
              <w:pStyle w:val="TableParagraph"/>
              <w:ind w:left="0"/>
              <w:rPr>
                <w:rFonts w:ascii="Times New Roman"/>
                <w:sz w:val="16"/>
              </w:rPr>
            </w:pPr>
          </w:p>
        </w:tc>
      </w:tr>
      <w:tr>
        <w:trPr>
          <w:trHeight w:val="231" w:hRule="atLeast"/>
        </w:trPr>
        <w:tc>
          <w:tcPr>
            <w:tcW w:w="3542" w:type="dxa"/>
          </w:tcPr>
          <w:p>
            <w:pPr>
              <w:pStyle w:val="TableParagraph"/>
              <w:spacing w:line="212" w:lineRule="exact"/>
              <w:rPr>
                <w:sz w:val="20"/>
              </w:rPr>
            </w:pPr>
            <w:r>
              <w:rPr>
                <w:sz w:val="20"/>
              </w:rPr>
              <w:t>Hengqing Ye</w:t>
            </w:r>
          </w:p>
        </w:tc>
        <w:tc>
          <w:tcPr>
            <w:tcW w:w="3254" w:type="dxa"/>
          </w:tcPr>
          <w:p>
            <w:pPr>
              <w:pStyle w:val="TableParagraph"/>
              <w:ind w:left="0"/>
              <w:rPr>
                <w:rFonts w:ascii="Times New Roman"/>
                <w:sz w:val="16"/>
              </w:rPr>
            </w:pPr>
          </w:p>
        </w:tc>
        <w:tc>
          <w:tcPr>
            <w:tcW w:w="3736" w:type="dxa"/>
          </w:tcPr>
          <w:p>
            <w:pPr>
              <w:pStyle w:val="TableParagraph"/>
              <w:spacing w:line="212" w:lineRule="exact"/>
              <w:ind w:left="188"/>
              <w:rPr>
                <w:b/>
                <w:sz w:val="20"/>
              </w:rPr>
            </w:pPr>
            <w:r>
              <w:rPr>
                <w:b/>
                <w:color w:val="050505"/>
                <w:sz w:val="20"/>
                <w:u w:val="thick" w:color="050505"/>
              </w:rPr>
              <w:t>INDIVIDUALS</w:t>
            </w:r>
          </w:p>
        </w:tc>
      </w:tr>
      <w:tr>
        <w:trPr>
          <w:trHeight w:val="229" w:hRule="atLeast"/>
        </w:trPr>
        <w:tc>
          <w:tcPr>
            <w:tcW w:w="3542" w:type="dxa"/>
          </w:tcPr>
          <w:p>
            <w:pPr>
              <w:pStyle w:val="TableParagraph"/>
              <w:ind w:left="0"/>
              <w:rPr>
                <w:rFonts w:ascii="Times New Roman"/>
                <w:sz w:val="16"/>
              </w:rPr>
            </w:pPr>
          </w:p>
        </w:tc>
        <w:tc>
          <w:tcPr>
            <w:tcW w:w="3254" w:type="dxa"/>
          </w:tcPr>
          <w:p>
            <w:pPr>
              <w:pStyle w:val="TableParagraph"/>
              <w:ind w:left="0"/>
              <w:rPr>
                <w:rFonts w:ascii="Times New Roman"/>
                <w:sz w:val="16"/>
              </w:rPr>
            </w:pPr>
          </w:p>
        </w:tc>
        <w:tc>
          <w:tcPr>
            <w:tcW w:w="3736" w:type="dxa"/>
          </w:tcPr>
          <w:p>
            <w:pPr>
              <w:pStyle w:val="TableParagraph"/>
              <w:spacing w:line="209" w:lineRule="exact"/>
              <w:ind w:left="188"/>
              <w:rPr>
                <w:sz w:val="20"/>
              </w:rPr>
            </w:pPr>
            <w:r>
              <w:rPr>
                <w:sz w:val="20"/>
              </w:rPr>
              <w:t>Shawn Mitchell Solomons</w:t>
            </w:r>
          </w:p>
        </w:tc>
      </w:tr>
      <w:tr>
        <w:trPr>
          <w:trHeight w:val="225" w:hRule="atLeast"/>
        </w:trPr>
        <w:tc>
          <w:tcPr>
            <w:tcW w:w="3542" w:type="dxa"/>
          </w:tcPr>
          <w:p>
            <w:pPr>
              <w:pStyle w:val="TableParagraph"/>
              <w:ind w:left="0"/>
              <w:rPr>
                <w:rFonts w:ascii="Times New Roman"/>
                <w:sz w:val="16"/>
              </w:rPr>
            </w:pPr>
          </w:p>
        </w:tc>
        <w:tc>
          <w:tcPr>
            <w:tcW w:w="3254" w:type="dxa"/>
          </w:tcPr>
          <w:p>
            <w:pPr>
              <w:pStyle w:val="TableParagraph"/>
              <w:ind w:left="0"/>
              <w:rPr>
                <w:rFonts w:ascii="Times New Roman"/>
                <w:sz w:val="16"/>
              </w:rPr>
            </w:pPr>
          </w:p>
        </w:tc>
        <w:tc>
          <w:tcPr>
            <w:tcW w:w="3736" w:type="dxa"/>
          </w:tcPr>
          <w:p>
            <w:pPr>
              <w:pStyle w:val="TableParagraph"/>
              <w:spacing w:line="205" w:lineRule="exact"/>
              <w:ind w:left="188"/>
              <w:rPr>
                <w:sz w:val="20"/>
              </w:rPr>
            </w:pPr>
            <w:r>
              <w:rPr>
                <w:color w:val="050505"/>
                <w:sz w:val="20"/>
              </w:rPr>
              <w:t>Daniel Con Blogna</w:t>
            </w:r>
          </w:p>
        </w:tc>
      </w:tr>
    </w:tbl>
    <w:p>
      <w:pPr>
        <w:pStyle w:val="BodyText"/>
        <w:spacing w:before="2"/>
        <w:rPr>
          <w:sz w:val="22"/>
        </w:rPr>
      </w:pPr>
    </w:p>
    <w:p>
      <w:pPr>
        <w:pStyle w:val="BodyText"/>
        <w:ind w:left="720" w:right="1542"/>
      </w:pPr>
      <w:r>
        <w:rPr/>
        <w:t>Any person wishing to make written representation in respect of any of these applications should address the correspondence by 2 January 2018 to:</w:t>
      </w:r>
    </w:p>
    <w:p>
      <w:pPr>
        <w:pStyle w:val="BodyText"/>
        <w:rPr>
          <w:sz w:val="22"/>
        </w:rPr>
      </w:pPr>
    </w:p>
    <w:p>
      <w:pPr>
        <w:pStyle w:val="BodyText"/>
        <w:spacing w:before="6"/>
        <w:rPr>
          <w:sz w:val="18"/>
        </w:rPr>
      </w:pPr>
    </w:p>
    <w:p>
      <w:pPr>
        <w:pStyle w:val="BodyText"/>
        <w:ind w:left="6657"/>
      </w:pPr>
      <w:r>
        <w:rPr/>
        <w:pict>
          <v:shapetype id="_x0000_t202" o:spt="202" coordsize="21600,21600" path="m,l,21600r21600,l21600,xe">
            <v:stroke joinstyle="miter"/>
            <v:path gradientshapeok="t" o:connecttype="rect"/>
          </v:shapetype>
          <v:shape style="position:absolute;margin-left:31.4pt;margin-top:-11.528874pt;width:299.850pt;height:45.7pt;mso-position-horizontal-relative:page;mso-position-vertical-relative:paragraph;z-index:1572966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48"/>
                    <w:gridCol w:w="2349"/>
                  </w:tblGrid>
                  <w:tr>
                    <w:trPr>
                      <w:trHeight w:val="913" w:hRule="atLeast"/>
                    </w:trPr>
                    <w:tc>
                      <w:tcPr>
                        <w:tcW w:w="3648" w:type="dxa"/>
                      </w:tcPr>
                      <w:p>
                        <w:pPr>
                          <w:pStyle w:val="TableParagraph"/>
                          <w:ind w:right="1244"/>
                          <w:rPr>
                            <w:sz w:val="20"/>
                          </w:rPr>
                        </w:pPr>
                        <w:r>
                          <w:rPr>
                            <w:sz w:val="20"/>
                          </w:rPr>
                          <w:t>Broker Licensing Australian Border Force 5 Constitution Avenue</w:t>
                        </w:r>
                      </w:p>
                      <w:p>
                        <w:pPr>
                          <w:pStyle w:val="TableParagraph"/>
                          <w:spacing w:line="210" w:lineRule="exact"/>
                          <w:rPr>
                            <w:sz w:val="20"/>
                          </w:rPr>
                        </w:pPr>
                        <w:r>
                          <w:rPr>
                            <w:sz w:val="20"/>
                          </w:rPr>
                          <w:t>CANBERRA ACT 2601</w:t>
                        </w:r>
                      </w:p>
                    </w:tc>
                    <w:tc>
                      <w:tcPr>
                        <w:tcW w:w="2349" w:type="dxa"/>
                      </w:tcPr>
                      <w:p>
                        <w:pPr>
                          <w:pStyle w:val="TableParagraph"/>
                          <w:ind w:left="0"/>
                          <w:rPr>
                            <w:sz w:val="20"/>
                          </w:rPr>
                        </w:pPr>
                      </w:p>
                      <w:p>
                        <w:pPr>
                          <w:pStyle w:val="TableParagraph"/>
                          <w:ind w:left="1337" w:right="-44"/>
                          <w:rPr>
                            <w:sz w:val="20"/>
                          </w:rPr>
                        </w:pPr>
                        <w:r>
                          <w:rPr>
                            <w:sz w:val="20"/>
                          </w:rPr>
                          <w:t>Or email:</w:t>
                        </w:r>
                        <w:r>
                          <w:rPr>
                            <w:spacing w:val="-6"/>
                            <w:sz w:val="20"/>
                          </w:rPr>
                          <w:t> </w:t>
                        </w:r>
                        <w:hyperlink r:id="rId6">
                          <w:r>
                            <w:rPr>
                              <w:color w:val="0000FF"/>
                              <w:sz w:val="20"/>
                              <w:u w:val="single" w:color="0000FF"/>
                            </w:rPr>
                            <w:t>br</w:t>
                          </w:r>
                        </w:hyperlink>
                      </w:p>
                    </w:tc>
                  </w:tr>
                </w:tbl>
                <w:p>
                  <w:pPr>
                    <w:pStyle w:val="BodyText"/>
                  </w:pPr>
                </w:p>
              </w:txbxContent>
            </v:textbox>
            <w10:wrap type="none"/>
          </v:shape>
        </w:pict>
      </w:r>
      <w:hyperlink r:id="rId6">
        <w:r>
          <w:rPr>
            <w:color w:val="0000FF"/>
            <w:u w:val="single" w:color="0000FF"/>
          </w:rPr>
          <w:t>okers.licensing@border.gov.au</w:t>
        </w:r>
      </w:hyperlink>
    </w:p>
    <w:p>
      <w:pPr>
        <w:pStyle w:val="BodyText"/>
        <w:rPr>
          <w:sz w:val="22"/>
        </w:rPr>
      </w:pPr>
    </w:p>
    <w:p>
      <w:pPr>
        <w:pStyle w:val="BodyText"/>
        <w:rPr>
          <w:sz w:val="22"/>
        </w:rPr>
      </w:pPr>
    </w:p>
    <w:p>
      <w:pPr>
        <w:pStyle w:val="BodyText"/>
        <w:spacing w:before="193"/>
        <w:ind w:left="720" w:right="708"/>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line="460" w:lineRule="atLeast" w:before="120"/>
        <w:ind w:left="719" w:right="10226"/>
      </w:pPr>
      <w:r>
        <w:rPr/>
        <w:t>[signed] Lyn Foster</w:t>
      </w:r>
    </w:p>
    <w:p>
      <w:pPr>
        <w:pStyle w:val="BodyText"/>
        <w:spacing w:line="229" w:lineRule="exact"/>
        <w:ind w:left="719"/>
      </w:pPr>
      <w:r>
        <w:rPr/>
        <w:t>Acting Superintendent</w:t>
      </w:r>
    </w:p>
    <w:p>
      <w:pPr>
        <w:pStyle w:val="BodyText"/>
        <w:ind w:left="720" w:right="7934"/>
      </w:pPr>
      <w:r>
        <w:rPr/>
        <w:t>Trade and Goods Operational Policy CANBERRA ACT</w:t>
      </w:r>
    </w:p>
    <w:p>
      <w:pPr>
        <w:pStyle w:val="BodyText"/>
        <w:spacing w:before="1"/>
      </w:pPr>
    </w:p>
    <w:p>
      <w:pPr>
        <w:pStyle w:val="BodyText"/>
        <w:ind w:left="720"/>
      </w:pPr>
      <w:r>
        <w:rPr/>
        <w:t>8 December</w:t>
      </w:r>
      <w:r>
        <w:rPr>
          <w:spacing w:val="-11"/>
        </w:rPr>
        <w:t> </w:t>
      </w:r>
      <w:r>
        <w:rPr/>
        <w:t>2017</w:t>
      </w:r>
    </w:p>
    <w:sectPr>
      <w:type w:val="continuous"/>
      <w:pgSz w:w="11910" w:h="16840"/>
      <w:pgMar w:top="6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92"/>
      <w:ind w:left="1238"/>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ind w:left="200"/>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border.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Immigration and Border Protection</dc:creator>
  <dc:subject>DIBP Notice 2017/34</dc:subject>
  <dc:title>Applications for Customs Broker Licences</dc:title>
  <dcterms:created xsi:type="dcterms:W3CDTF">2020-12-09T22:50:53Z</dcterms:created>
  <dcterms:modified xsi:type="dcterms:W3CDTF">2020-12-09T22:50:53Z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2017-12-11T00:00:00Z</vt:filetime>
  </property>
  <property fmtid="{D5CDD505-2E9C-101B-9397-08002B2CF9AE}" pid="3" name="Creator">
    <vt:lpwstr>Acrobat PDFMaker 15 for Word</vt:lpwstr>
  </property>
  <property fmtid="{D5CDD505-2E9C-101B-9397-08002B2CF9AE}" pid="4" name="LastSaved">
    <vt:filetime>2020-12-09T00:00:00Z</vt:filetime>
  </property>
</Properties>
</file>