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-1294028</wp:posOffset>
            </wp:positionV>
            <wp:extent cx="7560564"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09217"/>
                    </a:xfrm>
                    <a:prstGeom prst="rect">
                      <a:avLst/>
                    </a:prstGeom>
                  </pic:spPr>
                </pic:pic>
              </a:graphicData>
            </a:graphic>
          </wp:anchor>
        </w:drawing>
      </w:r>
      <w:r>
        <w:rPr/>
        <w:t>DEPARTMENT OF IMMIGRATION AND BORDER PROTECTION NOTICE</w:t>
      </w:r>
    </w:p>
    <w:p>
      <w:pPr>
        <w:pStyle w:val="Title"/>
        <w:spacing w:before="202"/>
        <w:ind w:left="3376" w:right="2925"/>
        <w:jc w:val="center"/>
      </w:pPr>
      <w:r>
        <w:rPr/>
        <w:pict>
          <v:rect style="position:absolute;margin-left:55.919998pt;margin-top:30.31181pt;width:506.04pt;height:.48pt;mso-position-horizontal-relative:page;mso-position-vertical-relative:paragraph;z-index:-15728640;mso-wrap-distance-left:0;mso-wrap-distance-right:0" filled="true" fillcolor="#4f81bd" stroked="false">
            <v:fill type="solid"/>
            <w10:wrap type="topAndBottom"/>
          </v:rect>
        </w:pict>
      </w:r>
      <w:r>
        <w:rPr/>
        <w:t>No. 2017/35</w:t>
      </w:r>
    </w:p>
    <w:p>
      <w:pPr>
        <w:pStyle w:val="BodyText"/>
        <w:spacing w:before="7"/>
        <w:rPr>
          <w:b/>
          <w:sz w:val="13"/>
        </w:rPr>
      </w:pPr>
    </w:p>
    <w:p>
      <w:pPr>
        <w:spacing w:before="91"/>
        <w:ind w:left="3376" w:right="3378" w:firstLine="0"/>
        <w:jc w:val="center"/>
        <w:rPr>
          <w:b/>
          <w:sz w:val="26"/>
        </w:rPr>
      </w:pPr>
      <w:bookmarkStart w:name="Applications for Customs Broker Licence" w:id="1"/>
      <w:bookmarkEnd w:id="1"/>
      <w:r>
        <w:rPr/>
      </w:r>
      <w:r>
        <w:rPr>
          <w:b/>
          <w:sz w:val="26"/>
        </w:rPr>
        <w:t>Applications for Customs Broker Licence</w:t>
      </w:r>
    </w:p>
    <w:p>
      <w:pPr>
        <w:pStyle w:val="BodyText"/>
        <w:spacing w:before="7"/>
        <w:rPr>
          <w:b/>
          <w:sz w:val="24"/>
        </w:rPr>
      </w:pPr>
    </w:p>
    <w:p>
      <w:pPr>
        <w:pStyle w:val="BodyText"/>
        <w:ind w:left="720" w:right="1031"/>
      </w:pPr>
      <w:r>
        <w:rPr/>
        <w:t>The following individuals and companies have applied to the Comptroller-General of Customs for a customs broker licence.</w:t>
      </w:r>
    </w:p>
    <w:p>
      <w:pPr>
        <w:pStyle w:val="BodyText"/>
        <w:spacing w:before="5"/>
        <w:rPr>
          <w:sz w:val="22"/>
        </w:rPr>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3"/>
        <w:gridCol w:w="3485"/>
        <w:gridCol w:w="2667"/>
      </w:tblGrid>
      <w:tr>
        <w:trPr>
          <w:trHeight w:val="228" w:hRule="atLeast"/>
        </w:trPr>
        <w:tc>
          <w:tcPr>
            <w:tcW w:w="3073" w:type="dxa"/>
          </w:tcPr>
          <w:p>
            <w:pPr>
              <w:pStyle w:val="TableParagraph"/>
              <w:spacing w:line="208" w:lineRule="exact"/>
              <w:ind w:left="200"/>
              <w:rPr>
                <w:b/>
                <w:sz w:val="20"/>
              </w:rPr>
            </w:pPr>
            <w:r>
              <w:rPr>
                <w:b/>
                <w:color w:val="050505"/>
                <w:sz w:val="20"/>
                <w:u w:val="thick" w:color="050505"/>
              </w:rPr>
              <w:t>COMPANY</w:t>
            </w:r>
          </w:p>
        </w:tc>
        <w:tc>
          <w:tcPr>
            <w:tcW w:w="3485" w:type="dxa"/>
          </w:tcPr>
          <w:p>
            <w:pPr>
              <w:pStyle w:val="TableParagraph"/>
              <w:spacing w:line="208" w:lineRule="exact"/>
              <w:ind w:left="383"/>
              <w:rPr>
                <w:b/>
                <w:sz w:val="20"/>
              </w:rPr>
            </w:pPr>
            <w:r>
              <w:rPr>
                <w:b/>
                <w:color w:val="050505"/>
                <w:sz w:val="20"/>
                <w:u w:val="thick" w:color="050505"/>
              </w:rPr>
              <w:t>COMPANY</w:t>
            </w:r>
          </w:p>
        </w:tc>
        <w:tc>
          <w:tcPr>
            <w:tcW w:w="2667" w:type="dxa"/>
          </w:tcPr>
          <w:p>
            <w:pPr>
              <w:pStyle w:val="TableParagraph"/>
              <w:spacing w:line="208" w:lineRule="exact"/>
              <w:ind w:left="299"/>
              <w:rPr>
                <w:b/>
                <w:sz w:val="20"/>
              </w:rPr>
            </w:pPr>
            <w:r>
              <w:rPr>
                <w:b/>
                <w:color w:val="050505"/>
                <w:sz w:val="20"/>
                <w:u w:val="thick" w:color="050505"/>
              </w:rPr>
              <w:t>COMPANY</w:t>
            </w:r>
          </w:p>
        </w:tc>
      </w:tr>
      <w:tr>
        <w:trPr>
          <w:trHeight w:val="345" w:hRule="atLeast"/>
        </w:trPr>
        <w:tc>
          <w:tcPr>
            <w:tcW w:w="3073" w:type="dxa"/>
          </w:tcPr>
          <w:p>
            <w:pPr>
              <w:pStyle w:val="TableParagraph"/>
              <w:spacing w:line="227" w:lineRule="exact"/>
              <w:ind w:left="200"/>
              <w:rPr>
                <w:sz w:val="20"/>
              </w:rPr>
            </w:pPr>
            <w:r>
              <w:rPr>
                <w:sz w:val="20"/>
              </w:rPr>
              <w:t>BRW Logistics Pty. Ltd.</w:t>
            </w:r>
          </w:p>
        </w:tc>
        <w:tc>
          <w:tcPr>
            <w:tcW w:w="3485" w:type="dxa"/>
          </w:tcPr>
          <w:p>
            <w:pPr>
              <w:pStyle w:val="TableParagraph"/>
              <w:spacing w:line="227" w:lineRule="exact"/>
              <w:ind w:left="383"/>
              <w:rPr>
                <w:sz w:val="20"/>
              </w:rPr>
            </w:pPr>
            <w:r>
              <w:rPr>
                <w:sz w:val="20"/>
              </w:rPr>
              <w:t>Customs Brokers ASAP Pty Ltd</w:t>
            </w:r>
          </w:p>
        </w:tc>
        <w:tc>
          <w:tcPr>
            <w:tcW w:w="2667" w:type="dxa"/>
          </w:tcPr>
          <w:p>
            <w:pPr>
              <w:pStyle w:val="TableParagraph"/>
              <w:spacing w:line="227" w:lineRule="exact"/>
              <w:ind w:left="299"/>
              <w:rPr>
                <w:sz w:val="20"/>
              </w:rPr>
            </w:pPr>
            <w:r>
              <w:rPr>
                <w:sz w:val="20"/>
              </w:rPr>
              <w:t>Oceanair Freight Pty Ltd</w:t>
            </w:r>
          </w:p>
        </w:tc>
      </w:tr>
      <w:tr>
        <w:trPr>
          <w:trHeight w:val="459" w:hRule="atLeast"/>
        </w:trPr>
        <w:tc>
          <w:tcPr>
            <w:tcW w:w="3073" w:type="dxa"/>
          </w:tcPr>
          <w:p>
            <w:pPr>
              <w:pStyle w:val="TableParagraph"/>
              <w:spacing w:before="110"/>
              <w:ind w:left="200"/>
              <w:rPr>
                <w:sz w:val="20"/>
              </w:rPr>
            </w:pPr>
            <w:r>
              <w:rPr>
                <w:sz w:val="20"/>
              </w:rPr>
              <w:t>ABN 38 138 614 874</w:t>
            </w:r>
          </w:p>
        </w:tc>
        <w:tc>
          <w:tcPr>
            <w:tcW w:w="3485" w:type="dxa"/>
          </w:tcPr>
          <w:p>
            <w:pPr>
              <w:pStyle w:val="TableParagraph"/>
              <w:spacing w:before="110"/>
              <w:ind w:left="383"/>
              <w:rPr>
                <w:sz w:val="20"/>
              </w:rPr>
            </w:pPr>
            <w:r>
              <w:rPr>
                <w:sz w:val="20"/>
              </w:rPr>
              <w:t>44 622 715 888</w:t>
            </w:r>
          </w:p>
        </w:tc>
        <w:tc>
          <w:tcPr>
            <w:tcW w:w="2667" w:type="dxa"/>
          </w:tcPr>
          <w:p>
            <w:pPr>
              <w:pStyle w:val="TableParagraph"/>
              <w:spacing w:before="110"/>
              <w:ind w:left="299"/>
              <w:rPr>
                <w:sz w:val="20"/>
              </w:rPr>
            </w:pPr>
            <w:r>
              <w:rPr>
                <w:sz w:val="20"/>
              </w:rPr>
              <w:t>22 607 117 555</w:t>
            </w:r>
          </w:p>
        </w:tc>
      </w:tr>
      <w:tr>
        <w:trPr>
          <w:trHeight w:val="345" w:hRule="atLeast"/>
        </w:trPr>
        <w:tc>
          <w:tcPr>
            <w:tcW w:w="3073" w:type="dxa"/>
          </w:tcPr>
          <w:p>
            <w:pPr>
              <w:pStyle w:val="TableParagraph"/>
              <w:spacing w:line="214" w:lineRule="exact" w:before="112"/>
              <w:ind w:left="200"/>
              <w:rPr>
                <w:sz w:val="20"/>
              </w:rPr>
            </w:pPr>
            <w:r>
              <w:rPr>
                <w:sz w:val="20"/>
              </w:rPr>
              <w:t>W2</w:t>
            </w:r>
          </w:p>
        </w:tc>
        <w:tc>
          <w:tcPr>
            <w:tcW w:w="3485" w:type="dxa"/>
          </w:tcPr>
          <w:p>
            <w:pPr>
              <w:pStyle w:val="TableParagraph"/>
              <w:rPr>
                <w:rFonts w:ascii="Times New Roman"/>
                <w:sz w:val="20"/>
              </w:rPr>
            </w:pPr>
          </w:p>
        </w:tc>
        <w:tc>
          <w:tcPr>
            <w:tcW w:w="2667" w:type="dxa"/>
          </w:tcPr>
          <w:p>
            <w:pPr>
              <w:pStyle w:val="TableParagraph"/>
              <w:spacing w:line="214" w:lineRule="exact" w:before="112"/>
              <w:ind w:left="299"/>
              <w:rPr>
                <w:sz w:val="20"/>
              </w:rPr>
            </w:pPr>
            <w:r>
              <w:rPr>
                <w:sz w:val="20"/>
              </w:rPr>
              <w:t>Gate 3</w:t>
            </w:r>
          </w:p>
        </w:tc>
      </w:tr>
      <w:tr>
        <w:trPr>
          <w:trHeight w:val="230" w:hRule="atLeast"/>
        </w:trPr>
        <w:tc>
          <w:tcPr>
            <w:tcW w:w="3073" w:type="dxa"/>
          </w:tcPr>
          <w:p>
            <w:pPr>
              <w:pStyle w:val="TableParagraph"/>
              <w:spacing w:line="210" w:lineRule="exact"/>
              <w:ind w:left="200"/>
              <w:rPr>
                <w:sz w:val="20"/>
              </w:rPr>
            </w:pPr>
            <w:r>
              <w:rPr>
                <w:sz w:val="20"/>
              </w:rPr>
              <w:t>43-49 Cowpasture Road</w:t>
            </w:r>
          </w:p>
        </w:tc>
        <w:tc>
          <w:tcPr>
            <w:tcW w:w="3485" w:type="dxa"/>
          </w:tcPr>
          <w:p>
            <w:pPr>
              <w:pStyle w:val="TableParagraph"/>
              <w:spacing w:line="210" w:lineRule="exact"/>
              <w:ind w:left="383"/>
              <w:rPr>
                <w:sz w:val="20"/>
              </w:rPr>
            </w:pPr>
            <w:r>
              <w:rPr>
                <w:sz w:val="20"/>
              </w:rPr>
              <w:t>21 Ashton Street</w:t>
            </w:r>
          </w:p>
        </w:tc>
        <w:tc>
          <w:tcPr>
            <w:tcW w:w="2667" w:type="dxa"/>
          </w:tcPr>
          <w:p>
            <w:pPr>
              <w:pStyle w:val="TableParagraph"/>
              <w:spacing w:line="210" w:lineRule="exact"/>
              <w:ind w:left="299"/>
              <w:rPr>
                <w:sz w:val="20"/>
              </w:rPr>
            </w:pPr>
            <w:r>
              <w:rPr>
                <w:sz w:val="20"/>
              </w:rPr>
              <w:t>20 Olympia Street</w:t>
            </w:r>
          </w:p>
        </w:tc>
      </w:tr>
      <w:tr>
        <w:trPr>
          <w:trHeight w:val="343" w:hRule="atLeast"/>
        </w:trPr>
        <w:tc>
          <w:tcPr>
            <w:tcW w:w="3073" w:type="dxa"/>
          </w:tcPr>
          <w:p>
            <w:pPr>
              <w:pStyle w:val="TableParagraph"/>
              <w:spacing w:line="227" w:lineRule="exact"/>
              <w:ind w:left="200"/>
              <w:rPr>
                <w:sz w:val="20"/>
              </w:rPr>
            </w:pPr>
            <w:r>
              <w:rPr>
                <w:sz w:val="20"/>
              </w:rPr>
              <w:t>Wetherill Park NSW</w:t>
            </w:r>
            <w:r>
              <w:rPr>
                <w:spacing w:val="54"/>
                <w:sz w:val="20"/>
              </w:rPr>
              <w:t> </w:t>
            </w:r>
            <w:r>
              <w:rPr>
                <w:sz w:val="20"/>
              </w:rPr>
              <w:t>2164</w:t>
            </w:r>
          </w:p>
        </w:tc>
        <w:tc>
          <w:tcPr>
            <w:tcW w:w="3485" w:type="dxa"/>
          </w:tcPr>
          <w:p>
            <w:pPr>
              <w:pStyle w:val="TableParagraph"/>
              <w:spacing w:line="227" w:lineRule="exact"/>
              <w:ind w:left="383"/>
              <w:rPr>
                <w:sz w:val="20"/>
              </w:rPr>
            </w:pPr>
            <w:r>
              <w:rPr>
                <w:sz w:val="20"/>
              </w:rPr>
              <w:t>Wynnum QLD 4178</w:t>
            </w:r>
          </w:p>
        </w:tc>
        <w:tc>
          <w:tcPr>
            <w:tcW w:w="2667" w:type="dxa"/>
          </w:tcPr>
          <w:p>
            <w:pPr>
              <w:pStyle w:val="TableParagraph"/>
              <w:spacing w:line="227" w:lineRule="exact"/>
              <w:ind w:left="299"/>
              <w:rPr>
                <w:sz w:val="20"/>
              </w:rPr>
            </w:pPr>
            <w:r>
              <w:rPr>
                <w:sz w:val="20"/>
              </w:rPr>
              <w:t>Tottenham VIC</w:t>
            </w:r>
            <w:r>
              <w:rPr>
                <w:spacing w:val="51"/>
                <w:sz w:val="20"/>
              </w:rPr>
              <w:t> </w:t>
            </w:r>
            <w:r>
              <w:rPr>
                <w:sz w:val="20"/>
              </w:rPr>
              <w:t>3012</w:t>
            </w:r>
          </w:p>
        </w:tc>
      </w:tr>
      <w:tr>
        <w:trPr>
          <w:trHeight w:val="344" w:hRule="atLeast"/>
        </w:trPr>
        <w:tc>
          <w:tcPr>
            <w:tcW w:w="3073" w:type="dxa"/>
          </w:tcPr>
          <w:p>
            <w:pPr>
              <w:pStyle w:val="TableParagraph"/>
              <w:spacing w:line="215" w:lineRule="exact" w:before="109"/>
              <w:ind w:left="200"/>
              <w:rPr>
                <w:b/>
                <w:sz w:val="20"/>
              </w:rPr>
            </w:pPr>
            <w:r>
              <w:rPr>
                <w:b/>
                <w:color w:val="050505"/>
                <w:sz w:val="20"/>
                <w:u w:val="thick" w:color="050505"/>
              </w:rPr>
              <w:t>Person in Authority</w:t>
            </w:r>
          </w:p>
        </w:tc>
        <w:tc>
          <w:tcPr>
            <w:tcW w:w="3485" w:type="dxa"/>
          </w:tcPr>
          <w:p>
            <w:pPr>
              <w:pStyle w:val="TableParagraph"/>
              <w:spacing w:line="215" w:lineRule="exact" w:before="109"/>
              <w:ind w:left="383"/>
              <w:rPr>
                <w:b/>
                <w:sz w:val="20"/>
              </w:rPr>
            </w:pPr>
            <w:r>
              <w:rPr>
                <w:b/>
                <w:color w:val="050505"/>
                <w:sz w:val="20"/>
                <w:u w:val="thick" w:color="050505"/>
              </w:rPr>
              <w:t>Persons in Authority</w:t>
            </w:r>
          </w:p>
        </w:tc>
        <w:tc>
          <w:tcPr>
            <w:tcW w:w="2667" w:type="dxa"/>
          </w:tcPr>
          <w:p>
            <w:pPr>
              <w:pStyle w:val="TableParagraph"/>
              <w:spacing w:line="215" w:lineRule="exact" w:before="109"/>
              <w:ind w:left="299"/>
              <w:rPr>
                <w:b/>
                <w:sz w:val="20"/>
              </w:rPr>
            </w:pPr>
            <w:r>
              <w:rPr>
                <w:b/>
                <w:color w:val="050505"/>
                <w:sz w:val="20"/>
                <w:u w:val="thick" w:color="050505"/>
              </w:rPr>
              <w:t>Person in Authority</w:t>
            </w:r>
          </w:p>
        </w:tc>
      </w:tr>
      <w:tr>
        <w:trPr>
          <w:trHeight w:val="231" w:hRule="atLeast"/>
        </w:trPr>
        <w:tc>
          <w:tcPr>
            <w:tcW w:w="3073" w:type="dxa"/>
          </w:tcPr>
          <w:p>
            <w:pPr>
              <w:pStyle w:val="TableParagraph"/>
              <w:spacing w:line="211" w:lineRule="exact"/>
              <w:ind w:left="200"/>
              <w:rPr>
                <w:sz w:val="20"/>
              </w:rPr>
            </w:pPr>
            <w:r>
              <w:rPr>
                <w:sz w:val="20"/>
              </w:rPr>
              <w:t>Mark Richard Williams</w:t>
            </w:r>
          </w:p>
        </w:tc>
        <w:tc>
          <w:tcPr>
            <w:tcW w:w="3485" w:type="dxa"/>
          </w:tcPr>
          <w:p>
            <w:pPr>
              <w:pStyle w:val="TableParagraph"/>
              <w:spacing w:line="211" w:lineRule="exact"/>
              <w:ind w:left="383"/>
              <w:rPr>
                <w:sz w:val="20"/>
              </w:rPr>
            </w:pPr>
            <w:r>
              <w:rPr>
                <w:sz w:val="20"/>
              </w:rPr>
              <w:t>Robert Sylvista Rimes</w:t>
            </w:r>
          </w:p>
        </w:tc>
        <w:tc>
          <w:tcPr>
            <w:tcW w:w="2667" w:type="dxa"/>
          </w:tcPr>
          <w:p>
            <w:pPr>
              <w:pStyle w:val="TableParagraph"/>
              <w:spacing w:line="211" w:lineRule="exact"/>
              <w:ind w:left="299"/>
              <w:rPr>
                <w:sz w:val="20"/>
              </w:rPr>
            </w:pPr>
            <w:r>
              <w:rPr>
                <w:sz w:val="20"/>
              </w:rPr>
              <w:t>Asnit Ashok Kumar</w:t>
            </w:r>
          </w:p>
        </w:tc>
      </w:tr>
      <w:tr>
        <w:trPr>
          <w:trHeight w:val="459" w:hRule="atLeast"/>
        </w:trPr>
        <w:tc>
          <w:tcPr>
            <w:tcW w:w="3073" w:type="dxa"/>
          </w:tcPr>
          <w:p>
            <w:pPr>
              <w:pStyle w:val="TableParagraph"/>
              <w:rPr>
                <w:rFonts w:ascii="Times New Roman"/>
                <w:sz w:val="20"/>
              </w:rPr>
            </w:pPr>
          </w:p>
        </w:tc>
        <w:tc>
          <w:tcPr>
            <w:tcW w:w="3485" w:type="dxa"/>
          </w:tcPr>
          <w:p>
            <w:pPr>
              <w:pStyle w:val="TableParagraph"/>
              <w:spacing w:line="227" w:lineRule="exact"/>
              <w:ind w:left="383"/>
              <w:rPr>
                <w:sz w:val="20"/>
              </w:rPr>
            </w:pPr>
            <w:r>
              <w:rPr>
                <w:sz w:val="20"/>
              </w:rPr>
              <w:t>Margaret Phyliss Beagrie-Lambert</w:t>
            </w:r>
          </w:p>
        </w:tc>
        <w:tc>
          <w:tcPr>
            <w:tcW w:w="2667" w:type="dxa"/>
          </w:tcPr>
          <w:p>
            <w:pPr>
              <w:pStyle w:val="TableParagraph"/>
              <w:rPr>
                <w:rFonts w:ascii="Times New Roman"/>
                <w:sz w:val="20"/>
              </w:rPr>
            </w:pPr>
          </w:p>
        </w:tc>
      </w:tr>
      <w:tr>
        <w:trPr>
          <w:trHeight w:val="460" w:hRule="atLeast"/>
        </w:trPr>
        <w:tc>
          <w:tcPr>
            <w:tcW w:w="3073" w:type="dxa"/>
          </w:tcPr>
          <w:p>
            <w:pPr>
              <w:pStyle w:val="TableParagraph"/>
              <w:spacing w:before="7"/>
              <w:rPr>
                <w:sz w:val="19"/>
              </w:rPr>
            </w:pPr>
          </w:p>
          <w:p>
            <w:pPr>
              <w:pStyle w:val="TableParagraph"/>
              <w:spacing w:line="214" w:lineRule="exact"/>
              <w:ind w:left="200"/>
              <w:rPr>
                <w:b/>
                <w:sz w:val="20"/>
              </w:rPr>
            </w:pPr>
            <w:r>
              <w:rPr>
                <w:b/>
                <w:color w:val="050505"/>
                <w:sz w:val="20"/>
                <w:u w:val="thick" w:color="050505"/>
              </w:rPr>
              <w:t>Nominee Brokers</w:t>
            </w:r>
          </w:p>
        </w:tc>
        <w:tc>
          <w:tcPr>
            <w:tcW w:w="3485" w:type="dxa"/>
          </w:tcPr>
          <w:p>
            <w:pPr>
              <w:pStyle w:val="TableParagraph"/>
              <w:spacing w:before="7"/>
              <w:rPr>
                <w:sz w:val="19"/>
              </w:rPr>
            </w:pPr>
          </w:p>
          <w:p>
            <w:pPr>
              <w:pStyle w:val="TableParagraph"/>
              <w:spacing w:line="214" w:lineRule="exact"/>
              <w:ind w:left="383"/>
              <w:rPr>
                <w:b/>
                <w:sz w:val="20"/>
              </w:rPr>
            </w:pPr>
            <w:r>
              <w:rPr>
                <w:b/>
                <w:color w:val="050505"/>
                <w:sz w:val="20"/>
                <w:u w:val="thick" w:color="050505"/>
              </w:rPr>
              <w:t>Nominee Broker</w:t>
            </w:r>
          </w:p>
        </w:tc>
        <w:tc>
          <w:tcPr>
            <w:tcW w:w="2667" w:type="dxa"/>
          </w:tcPr>
          <w:p>
            <w:pPr>
              <w:pStyle w:val="TableParagraph"/>
              <w:spacing w:before="7"/>
              <w:rPr>
                <w:sz w:val="19"/>
              </w:rPr>
            </w:pPr>
          </w:p>
          <w:p>
            <w:pPr>
              <w:pStyle w:val="TableParagraph"/>
              <w:spacing w:line="214" w:lineRule="exact"/>
              <w:ind w:left="299"/>
              <w:rPr>
                <w:b/>
                <w:sz w:val="20"/>
              </w:rPr>
            </w:pPr>
            <w:r>
              <w:rPr>
                <w:b/>
                <w:color w:val="050505"/>
                <w:sz w:val="20"/>
                <w:u w:val="thick" w:color="050505"/>
              </w:rPr>
              <w:t>Nominee Broker</w:t>
            </w:r>
          </w:p>
        </w:tc>
      </w:tr>
      <w:tr>
        <w:trPr>
          <w:trHeight w:val="229" w:hRule="atLeast"/>
        </w:trPr>
        <w:tc>
          <w:tcPr>
            <w:tcW w:w="3073" w:type="dxa"/>
          </w:tcPr>
          <w:p>
            <w:pPr>
              <w:pStyle w:val="TableParagraph"/>
              <w:spacing w:line="210" w:lineRule="exact"/>
              <w:ind w:left="200"/>
              <w:rPr>
                <w:sz w:val="20"/>
              </w:rPr>
            </w:pPr>
            <w:r>
              <w:rPr>
                <w:sz w:val="20"/>
              </w:rPr>
              <w:t>Philip David Cole</w:t>
            </w:r>
          </w:p>
        </w:tc>
        <w:tc>
          <w:tcPr>
            <w:tcW w:w="3485" w:type="dxa"/>
          </w:tcPr>
          <w:p>
            <w:pPr>
              <w:pStyle w:val="TableParagraph"/>
              <w:spacing w:line="210" w:lineRule="exact"/>
              <w:ind w:left="383"/>
              <w:rPr>
                <w:sz w:val="20"/>
              </w:rPr>
            </w:pPr>
            <w:r>
              <w:rPr>
                <w:sz w:val="20"/>
              </w:rPr>
              <w:t>Robert Sylvista Rimes</w:t>
            </w:r>
          </w:p>
        </w:tc>
        <w:tc>
          <w:tcPr>
            <w:tcW w:w="2667" w:type="dxa"/>
          </w:tcPr>
          <w:p>
            <w:pPr>
              <w:pStyle w:val="TableParagraph"/>
              <w:spacing w:line="210" w:lineRule="exact"/>
              <w:ind w:left="299"/>
              <w:rPr>
                <w:sz w:val="20"/>
              </w:rPr>
            </w:pPr>
            <w:r>
              <w:rPr>
                <w:sz w:val="20"/>
              </w:rPr>
              <w:t>Bruce Anderson</w:t>
            </w:r>
          </w:p>
        </w:tc>
      </w:tr>
      <w:tr>
        <w:trPr>
          <w:trHeight w:val="344" w:hRule="atLeast"/>
        </w:trPr>
        <w:tc>
          <w:tcPr>
            <w:tcW w:w="3073" w:type="dxa"/>
          </w:tcPr>
          <w:p>
            <w:pPr>
              <w:pStyle w:val="TableParagraph"/>
              <w:spacing w:line="227" w:lineRule="exact"/>
              <w:ind w:left="200"/>
              <w:rPr>
                <w:sz w:val="20"/>
              </w:rPr>
            </w:pPr>
            <w:r>
              <w:rPr>
                <w:sz w:val="20"/>
              </w:rPr>
              <w:t>Gary Ronald Johnson</w:t>
            </w:r>
          </w:p>
        </w:tc>
        <w:tc>
          <w:tcPr>
            <w:tcW w:w="3485" w:type="dxa"/>
          </w:tcPr>
          <w:p>
            <w:pPr>
              <w:pStyle w:val="TableParagraph"/>
              <w:rPr>
                <w:rFonts w:ascii="Times New Roman"/>
                <w:sz w:val="20"/>
              </w:rPr>
            </w:pPr>
          </w:p>
        </w:tc>
        <w:tc>
          <w:tcPr>
            <w:tcW w:w="2667" w:type="dxa"/>
          </w:tcPr>
          <w:p>
            <w:pPr>
              <w:pStyle w:val="TableParagraph"/>
              <w:rPr>
                <w:rFonts w:ascii="Times New Roman"/>
                <w:sz w:val="20"/>
              </w:rPr>
            </w:pPr>
          </w:p>
        </w:tc>
      </w:tr>
      <w:tr>
        <w:trPr>
          <w:trHeight w:val="346" w:hRule="atLeast"/>
        </w:trPr>
        <w:tc>
          <w:tcPr>
            <w:tcW w:w="3073" w:type="dxa"/>
          </w:tcPr>
          <w:p>
            <w:pPr>
              <w:pStyle w:val="TableParagraph"/>
              <w:rPr>
                <w:rFonts w:ascii="Times New Roman"/>
                <w:sz w:val="20"/>
              </w:rPr>
            </w:pPr>
          </w:p>
        </w:tc>
        <w:tc>
          <w:tcPr>
            <w:tcW w:w="3485" w:type="dxa"/>
          </w:tcPr>
          <w:p>
            <w:pPr>
              <w:pStyle w:val="TableParagraph"/>
              <w:rPr>
                <w:rFonts w:ascii="Times New Roman"/>
                <w:sz w:val="20"/>
              </w:rPr>
            </w:pPr>
          </w:p>
        </w:tc>
        <w:tc>
          <w:tcPr>
            <w:tcW w:w="2667" w:type="dxa"/>
          </w:tcPr>
          <w:p>
            <w:pPr>
              <w:pStyle w:val="TableParagraph"/>
              <w:spacing w:line="215" w:lineRule="exact" w:before="110"/>
              <w:ind w:left="299"/>
              <w:rPr>
                <w:b/>
                <w:sz w:val="20"/>
              </w:rPr>
            </w:pPr>
            <w:r>
              <w:rPr>
                <w:b/>
                <w:color w:val="050505"/>
                <w:sz w:val="20"/>
                <w:u w:val="thick" w:color="050505"/>
              </w:rPr>
              <w:t>INDIVIDUALS</w:t>
            </w:r>
          </w:p>
        </w:tc>
      </w:tr>
      <w:tr>
        <w:trPr>
          <w:trHeight w:val="229" w:hRule="atLeast"/>
        </w:trPr>
        <w:tc>
          <w:tcPr>
            <w:tcW w:w="3073" w:type="dxa"/>
          </w:tcPr>
          <w:p>
            <w:pPr>
              <w:pStyle w:val="TableParagraph"/>
              <w:rPr>
                <w:rFonts w:ascii="Times New Roman"/>
                <w:sz w:val="16"/>
              </w:rPr>
            </w:pPr>
          </w:p>
        </w:tc>
        <w:tc>
          <w:tcPr>
            <w:tcW w:w="3485" w:type="dxa"/>
          </w:tcPr>
          <w:p>
            <w:pPr>
              <w:pStyle w:val="TableParagraph"/>
              <w:rPr>
                <w:rFonts w:ascii="Times New Roman"/>
                <w:sz w:val="16"/>
              </w:rPr>
            </w:pPr>
          </w:p>
        </w:tc>
        <w:tc>
          <w:tcPr>
            <w:tcW w:w="2667" w:type="dxa"/>
          </w:tcPr>
          <w:p>
            <w:pPr>
              <w:pStyle w:val="TableParagraph"/>
              <w:spacing w:line="210" w:lineRule="exact"/>
              <w:ind w:left="299"/>
              <w:rPr>
                <w:sz w:val="20"/>
              </w:rPr>
            </w:pPr>
            <w:r>
              <w:rPr>
                <w:sz w:val="20"/>
              </w:rPr>
              <w:t>Peter James Neal</w:t>
            </w:r>
          </w:p>
        </w:tc>
      </w:tr>
      <w:tr>
        <w:trPr>
          <w:trHeight w:val="225" w:hRule="atLeast"/>
        </w:trPr>
        <w:tc>
          <w:tcPr>
            <w:tcW w:w="3073" w:type="dxa"/>
          </w:tcPr>
          <w:p>
            <w:pPr>
              <w:pStyle w:val="TableParagraph"/>
              <w:rPr>
                <w:rFonts w:ascii="Times New Roman"/>
                <w:sz w:val="16"/>
              </w:rPr>
            </w:pPr>
          </w:p>
        </w:tc>
        <w:tc>
          <w:tcPr>
            <w:tcW w:w="3485" w:type="dxa"/>
          </w:tcPr>
          <w:p>
            <w:pPr>
              <w:pStyle w:val="TableParagraph"/>
              <w:rPr>
                <w:rFonts w:ascii="Times New Roman"/>
                <w:sz w:val="16"/>
              </w:rPr>
            </w:pPr>
          </w:p>
        </w:tc>
        <w:tc>
          <w:tcPr>
            <w:tcW w:w="2667" w:type="dxa"/>
          </w:tcPr>
          <w:p>
            <w:pPr>
              <w:pStyle w:val="TableParagraph"/>
              <w:spacing w:line="205" w:lineRule="exact"/>
              <w:ind w:left="299"/>
              <w:rPr>
                <w:sz w:val="20"/>
              </w:rPr>
            </w:pPr>
            <w:r>
              <w:rPr>
                <w:color w:val="050505"/>
                <w:sz w:val="20"/>
              </w:rPr>
              <w:t>Edmond Ng</w:t>
            </w:r>
          </w:p>
        </w:tc>
      </w:tr>
    </w:tbl>
    <w:p>
      <w:pPr>
        <w:pStyle w:val="BodyText"/>
        <w:spacing w:before="2"/>
        <w:rPr>
          <w:sz w:val="22"/>
        </w:rPr>
      </w:pPr>
    </w:p>
    <w:p>
      <w:pPr>
        <w:pStyle w:val="BodyText"/>
        <w:ind w:left="720" w:right="1542"/>
      </w:pPr>
      <w:r>
        <w:rPr/>
        <w:t>Any person wishing to make written representation in respect of any of these applications should address the correspondence by 2 January 2018 to:</w:t>
      </w:r>
    </w:p>
    <w:p>
      <w:pPr>
        <w:pStyle w:val="BodyText"/>
        <w:spacing w:before="6"/>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5342"/>
      </w:tblGrid>
      <w:tr>
        <w:trPr>
          <w:trHeight w:val="913" w:hRule="atLeast"/>
        </w:trPr>
        <w:tc>
          <w:tcPr>
            <w:tcW w:w="3648" w:type="dxa"/>
          </w:tcPr>
          <w:p>
            <w:pPr>
              <w:pStyle w:val="TableParagraph"/>
              <w:ind w:left="200" w:right="1244"/>
              <w:rPr>
                <w:sz w:val="20"/>
              </w:rPr>
            </w:pPr>
            <w:r>
              <w:rPr>
                <w:sz w:val="20"/>
              </w:rPr>
              <w:t>Broker Licensing Australian Border Force 5 Constitution Avenue</w:t>
            </w:r>
          </w:p>
          <w:p>
            <w:pPr>
              <w:pStyle w:val="TableParagraph"/>
              <w:spacing w:line="210" w:lineRule="exact"/>
              <w:ind w:left="200"/>
              <w:rPr>
                <w:sz w:val="20"/>
              </w:rPr>
            </w:pPr>
            <w:r>
              <w:rPr>
                <w:sz w:val="20"/>
              </w:rPr>
              <w:t>CANBERRA ACT 2601</w:t>
            </w:r>
          </w:p>
        </w:tc>
        <w:tc>
          <w:tcPr>
            <w:tcW w:w="5342" w:type="dxa"/>
          </w:tcPr>
          <w:p>
            <w:pPr>
              <w:pStyle w:val="TableParagraph"/>
              <w:rPr>
                <w:sz w:val="20"/>
              </w:rPr>
            </w:pPr>
          </w:p>
          <w:p>
            <w:pPr>
              <w:pStyle w:val="TableParagraph"/>
              <w:ind w:left="1337"/>
              <w:rPr>
                <w:sz w:val="20"/>
              </w:rPr>
            </w:pPr>
            <w:r>
              <w:rPr>
                <w:sz w:val="20"/>
              </w:rPr>
              <w:t>Or email: </w:t>
            </w:r>
            <w:hyperlink r:id="rId6">
              <w:r>
                <w:rPr>
                  <w:color w:val="0000FF"/>
                  <w:sz w:val="20"/>
                  <w:u w:val="single" w:color="0000FF"/>
                </w:rPr>
                <w:t>brokers.licensing@border.gov.au</w:t>
              </w:r>
            </w:hyperlink>
          </w:p>
        </w:tc>
      </w:tr>
    </w:tbl>
    <w:p>
      <w:pPr>
        <w:pStyle w:val="BodyText"/>
        <w:spacing w:before="3"/>
        <w:rPr>
          <w:sz w:val="21"/>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460" w:lineRule="atLeast" w:before="120"/>
        <w:ind w:left="719" w:right="10226"/>
      </w:pPr>
      <w:r>
        <w:rPr/>
        <w:t>[signed] Lyn Foster</w:t>
      </w:r>
    </w:p>
    <w:p>
      <w:pPr>
        <w:pStyle w:val="BodyText"/>
        <w:spacing w:line="229" w:lineRule="exact"/>
        <w:ind w:left="719"/>
      </w:pPr>
      <w:r>
        <w:rPr/>
        <w:t>Acting Superintendent</w:t>
      </w:r>
    </w:p>
    <w:p>
      <w:pPr>
        <w:pStyle w:val="BodyText"/>
        <w:ind w:left="720" w:right="7934"/>
      </w:pPr>
      <w:r>
        <w:rPr/>
        <w:t>Trade and Goods Operational Policy CANBERRA ACT</w:t>
      </w:r>
    </w:p>
    <w:p>
      <w:pPr>
        <w:pStyle w:val="BodyText"/>
        <w:spacing w:before="2"/>
      </w:pPr>
    </w:p>
    <w:p>
      <w:pPr>
        <w:pStyle w:val="BodyText"/>
        <w:ind w:left="720"/>
      </w:pPr>
      <w:r>
        <w:rPr/>
        <w:t>8 December</w:t>
      </w:r>
      <w:r>
        <w:rPr>
          <w:spacing w:val="-11"/>
        </w:rPr>
        <w:t> </w:t>
      </w:r>
      <w:r>
        <w:rPr/>
        <w:t>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DIBP Notice 2017/35</dc:subject>
  <dc:title>Applications for Customs Broker Licences</dc:title>
  <dcterms:created xsi:type="dcterms:W3CDTF">2020-12-09T22:51:38Z</dcterms:created>
  <dcterms:modified xsi:type="dcterms:W3CDTF">2020-12-09T22:51:38Z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Acrobat PDFMaker 15 for Word</vt:lpwstr>
  </property>
  <property fmtid="{D5CDD505-2E9C-101B-9397-08002B2CF9AE}" pid="4" name="LastSaved">
    <vt:filetime>2020-12-09T00:00:00Z</vt:filetime>
  </property>
</Properties>
</file>