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right="-44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94.1pt;height:115pt;mso-position-horizontal-relative:char;mso-position-vertical-relative:line" coordorigin="0,0" coordsize="11882,2300">
            <v:shape style="position:absolute;left:0;top:0;width:11882;height:2300" type="#_x0000_t75" stroked="false">
              <v:imagedata r:id="rId5" o:title=""/>
            </v:shape>
            <v:shape style="position:absolute;left:678;top:668;width:1366;height:1007" type="#_x0000_t75" stroked="false">
              <v:imagedata r:id="rId6" o:title=""/>
            </v:shape>
            <v:line style="position:absolute" from="2171,1302" to="5090,1302" stroked="true" strokeweight=".748359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882;height:23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369" w:lineRule="auto" w:before="0"/>
                      <w:ind w:left="2155" w:right="6042" w:firstLine="0"/>
                      <w:jc w:val="lef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Australian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Government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Department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5"/>
                        <w:sz w:val="26"/>
                      </w:rPr>
                      <w:t>of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Home Affairs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pStyle w:val="Title"/>
        <w:spacing w:line="376" w:lineRule="auto"/>
      </w:pPr>
      <w:bookmarkStart w:name="DEPARTMENT OF HOME AFFAIRS NOTICE" w:id="1"/>
      <w:bookmarkEnd w:id="1"/>
      <w:r>
        <w:rPr>
          <w:b w:val="0"/>
        </w:rPr>
      </w:r>
      <w:r>
        <w:rPr>
          <w:color w:val="034EA2"/>
        </w:rPr>
        <w:t>DEPARTMENT OF HOME AFFAIRS NOTICE</w:t>
      </w:r>
      <w:bookmarkStart w:name="No. 2017/44" w:id="2"/>
      <w:bookmarkEnd w:id="2"/>
      <w:r>
        <w:rPr>
          <w:color w:val="034EA2"/>
        </w:rPr>
      </w:r>
      <w:r>
        <w:rPr>
          <w:color w:val="034EA2"/>
        </w:rPr>
        <w:t> No. 2017/44</w:t>
      </w:r>
    </w:p>
    <w:p>
      <w:pPr>
        <w:spacing w:line="268" w:lineRule="auto" w:before="0"/>
        <w:ind w:left="1136" w:right="1465" w:firstLine="0"/>
        <w:jc w:val="left"/>
        <w:rPr>
          <w:rFonts w:ascii="Arial-BoldItalicMT"/>
          <w:b/>
          <w:i/>
          <w:sz w:val="28"/>
        </w:rPr>
      </w:pPr>
      <w:r>
        <w:rPr>
          <w:b/>
          <w:sz w:val="28"/>
        </w:rPr>
        <w:t>Luxury Car Tax Exemption under Item 7 in Schedule 4 of the </w:t>
      </w:r>
      <w:r>
        <w:rPr>
          <w:rFonts w:ascii="Arial-BoldItalicMT"/>
          <w:b/>
          <w:i/>
          <w:sz w:val="28"/>
        </w:rPr>
        <w:t>Customs Tarrif Act 1995</w:t>
      </w:r>
    </w:p>
    <w:p>
      <w:pPr>
        <w:pStyle w:val="BodyText"/>
        <w:spacing w:line="261" w:lineRule="auto" w:before="120"/>
        <w:ind w:left="1136" w:right="1815"/>
        <w:jc w:val="both"/>
      </w:pPr>
      <w:r>
        <w:rPr/>
        <w:t>Following an amendment to the A New Tax System (Luxury Car Tax) Act 1999, some public institutions are eligible to claim an exemption for Luxury Car Tax under Item 7 in Schedule 4 (Schedule 4) of the </w:t>
      </w:r>
      <w:r>
        <w:rPr>
          <w:i/>
        </w:rPr>
        <w:t>Customs Tariff Act 1995</w:t>
      </w:r>
      <w:r>
        <w:rPr/>
        <w:t>.</w:t>
      </w:r>
    </w:p>
    <w:p>
      <w:pPr>
        <w:pStyle w:val="BodyText"/>
        <w:spacing w:line="266" w:lineRule="auto" w:before="125"/>
        <w:ind w:left="1136" w:right="1132"/>
        <w:jc w:val="both"/>
      </w:pPr>
      <w:r>
        <w:rPr/>
        <w:t>With the amendment, public institutions such as museums, galleries or libraries that import a luxury car, may be eligible for an exemption if:</w:t>
      </w:r>
    </w:p>
    <w:p>
      <w:pPr>
        <w:pStyle w:val="ListParagraph"/>
        <w:numPr>
          <w:ilvl w:val="0"/>
          <w:numId w:val="1"/>
        </w:numPr>
        <w:tabs>
          <w:tab w:pos="1416" w:val="left" w:leader="none"/>
        </w:tabs>
        <w:spacing w:line="240" w:lineRule="auto" w:before="113" w:after="0"/>
        <w:ind w:left="1416" w:right="0" w:hanging="280"/>
        <w:jc w:val="both"/>
        <w:rPr>
          <w:sz w:val="20"/>
        </w:rPr>
      </w:pPr>
      <w:r>
        <w:rPr>
          <w:sz w:val="20"/>
        </w:rPr>
        <w:t>the institution </w:t>
      </w:r>
      <w:r>
        <w:rPr>
          <w:spacing w:val="-3"/>
          <w:sz w:val="20"/>
        </w:rPr>
        <w:t>is </w:t>
      </w:r>
      <w:r>
        <w:rPr>
          <w:sz w:val="20"/>
        </w:rPr>
        <w:t>registered for Goods and Services Tax and endorsed as a Deductible Gift</w:t>
      </w:r>
      <w:r>
        <w:rPr>
          <w:spacing w:val="-9"/>
          <w:sz w:val="20"/>
        </w:rPr>
        <w:t> </w:t>
      </w:r>
      <w:r>
        <w:rPr>
          <w:sz w:val="20"/>
        </w:rPr>
        <w:t>Recipient</w:t>
      </w:r>
    </w:p>
    <w:p>
      <w:pPr>
        <w:pStyle w:val="ListParagraph"/>
        <w:numPr>
          <w:ilvl w:val="0"/>
          <w:numId w:val="1"/>
        </w:numPr>
        <w:tabs>
          <w:tab w:pos="1416" w:val="left" w:leader="none"/>
        </w:tabs>
        <w:spacing w:line="240" w:lineRule="auto" w:before="146" w:after="0"/>
        <w:ind w:left="1416" w:right="0" w:hanging="281"/>
        <w:jc w:val="both"/>
        <w:rPr>
          <w:sz w:val="20"/>
        </w:rPr>
      </w:pPr>
      <w:r>
        <w:rPr>
          <w:sz w:val="20"/>
        </w:rPr>
        <w:t>the car </w:t>
      </w:r>
      <w:r>
        <w:rPr>
          <w:spacing w:val="-3"/>
          <w:sz w:val="20"/>
        </w:rPr>
        <w:t>is </w:t>
      </w:r>
      <w:r>
        <w:rPr>
          <w:sz w:val="20"/>
        </w:rPr>
        <w:t>consigned to the importer</w:t>
      </w:r>
    </w:p>
    <w:p>
      <w:pPr>
        <w:pStyle w:val="ListParagraph"/>
        <w:numPr>
          <w:ilvl w:val="0"/>
          <w:numId w:val="1"/>
        </w:numPr>
        <w:tabs>
          <w:tab w:pos="1416" w:val="left" w:leader="none"/>
        </w:tabs>
        <w:spacing w:line="240" w:lineRule="auto" w:before="146" w:after="0"/>
        <w:ind w:left="1416" w:right="0" w:hanging="281"/>
        <w:jc w:val="both"/>
        <w:rPr>
          <w:sz w:val="20"/>
        </w:rPr>
      </w:pPr>
      <w:r>
        <w:rPr>
          <w:sz w:val="20"/>
        </w:rPr>
        <w:t>the car </w:t>
      </w:r>
      <w:r>
        <w:rPr>
          <w:spacing w:val="-3"/>
          <w:sz w:val="20"/>
        </w:rPr>
        <w:t>is </w:t>
      </w:r>
      <w:r>
        <w:rPr>
          <w:sz w:val="20"/>
        </w:rPr>
        <w:t>a work of art or collectors’</w:t>
      </w:r>
      <w:r>
        <w:rPr>
          <w:spacing w:val="2"/>
          <w:sz w:val="20"/>
        </w:rPr>
        <w:t> </w:t>
      </w:r>
      <w:r>
        <w:rPr>
          <w:sz w:val="20"/>
        </w:rPr>
        <w:t>piece</w:t>
      </w:r>
    </w:p>
    <w:p>
      <w:pPr>
        <w:pStyle w:val="ListParagraph"/>
        <w:numPr>
          <w:ilvl w:val="0"/>
          <w:numId w:val="1"/>
        </w:numPr>
        <w:tabs>
          <w:tab w:pos="1416" w:val="left" w:leader="none"/>
        </w:tabs>
        <w:spacing w:line="240" w:lineRule="auto" w:before="138" w:after="0"/>
        <w:ind w:left="1416" w:right="0" w:hanging="281"/>
        <w:jc w:val="both"/>
        <w:rPr>
          <w:sz w:val="20"/>
        </w:rPr>
      </w:pPr>
      <w:r>
        <w:rPr>
          <w:sz w:val="20"/>
        </w:rPr>
        <w:t>the car </w:t>
      </w:r>
      <w:r>
        <w:rPr>
          <w:spacing w:val="-3"/>
          <w:sz w:val="20"/>
        </w:rPr>
        <w:t>is </w:t>
      </w:r>
      <w:r>
        <w:rPr>
          <w:sz w:val="20"/>
        </w:rPr>
        <w:t>imported </w:t>
      </w:r>
      <w:r>
        <w:rPr>
          <w:spacing w:val="-3"/>
          <w:sz w:val="20"/>
        </w:rPr>
        <w:t>for </w:t>
      </w:r>
      <w:r>
        <w:rPr>
          <w:sz w:val="20"/>
        </w:rPr>
        <w:t>the sole purpose of public display,</w:t>
      </w:r>
      <w:r>
        <w:rPr>
          <w:spacing w:val="-3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1"/>
        </w:numPr>
        <w:tabs>
          <w:tab w:pos="1416" w:val="left" w:leader="none"/>
        </w:tabs>
        <w:spacing w:line="240" w:lineRule="auto" w:before="146" w:after="0"/>
        <w:ind w:left="1416" w:right="0" w:hanging="281"/>
        <w:jc w:val="left"/>
        <w:rPr>
          <w:sz w:val="20"/>
        </w:rPr>
      </w:pPr>
      <w:r>
        <w:rPr>
          <w:sz w:val="20"/>
        </w:rPr>
        <w:t>all conditions for Item 7 </w:t>
      </w:r>
      <w:r>
        <w:rPr>
          <w:spacing w:val="-3"/>
          <w:sz w:val="20"/>
        </w:rPr>
        <w:t>in </w:t>
      </w:r>
      <w:r>
        <w:rPr>
          <w:sz w:val="20"/>
        </w:rPr>
        <w:t>Schedule 4 eligibility </w:t>
      </w:r>
      <w:r>
        <w:rPr>
          <w:spacing w:val="-3"/>
          <w:sz w:val="20"/>
        </w:rPr>
        <w:t>have </w:t>
      </w:r>
      <w:r>
        <w:rPr>
          <w:sz w:val="20"/>
        </w:rPr>
        <w:t>also been</w:t>
      </w:r>
      <w:r>
        <w:rPr>
          <w:spacing w:val="-10"/>
          <w:sz w:val="20"/>
        </w:rPr>
        <w:t> </w:t>
      </w:r>
      <w:r>
        <w:rPr>
          <w:spacing w:val="2"/>
          <w:sz w:val="20"/>
        </w:rPr>
        <w:t>met.</w:t>
      </w:r>
    </w:p>
    <w:p>
      <w:pPr>
        <w:pStyle w:val="BodyText"/>
        <w:spacing w:line="372" w:lineRule="auto" w:before="144"/>
        <w:ind w:left="1136" w:right="2706"/>
      </w:pPr>
      <w:r>
        <w:rPr/>
        <w:t>Importers should enter the exemption code ‘OTHR’ when making a claim. Exemptions under Items 10, 11, 15, 18, 21 or 24 in Schedule 4 remain unchanged.</w:t>
      </w:r>
    </w:p>
    <w:p>
      <w:pPr>
        <w:pStyle w:val="BodyText"/>
        <w:spacing w:line="266" w:lineRule="auto" w:before="8"/>
        <w:ind w:left="1135" w:right="2574"/>
      </w:pPr>
      <w:r>
        <w:rPr/>
        <w:t>For further information on the changes visit the Australian Taxation Office website at </w:t>
      </w:r>
      <w:hyperlink r:id="rId7">
        <w:r>
          <w:rPr>
            <w:u w:val="single"/>
          </w:rPr>
          <w:t>www.</w:t>
        </w:r>
        <w:r>
          <w:rPr>
            <w:sz w:val="20"/>
            <w:u w:val="single"/>
          </w:rPr>
          <w:t>ato.gov.au/LCT</w:t>
        </w:r>
        <w:r>
          <w:rPr>
            <w:u w:val="single"/>
          </w:rPr>
          <w:t>.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before="97"/>
        <w:ind w:left="1136"/>
      </w:pPr>
      <w:r>
        <w:rPr/>
        <w:t>David Coyles</w:t>
      </w:r>
    </w:p>
    <w:p>
      <w:pPr>
        <w:pStyle w:val="BodyText"/>
        <w:spacing w:line="357" w:lineRule="auto" w:before="115"/>
        <w:ind w:left="1135" w:right="8064"/>
      </w:pPr>
      <w:r>
        <w:rPr/>
        <w:t>Acting Assistant Secretary Trade and Customs Branch 11 December 2017</w: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1416" w:hanging="280"/>
      </w:pPr>
      <w:rPr>
        <w:rFonts w:hint="default" w:ascii="Arial" w:hAnsi="Arial" w:eastAsia="Arial" w:cs="Arial"/>
        <w:b/>
        <w:b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5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3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2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10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58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07" w:hanging="2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4744" w:right="1374" w:hanging="3273"/>
    </w:pPr>
    <w:rPr>
      <w:rFonts w:ascii="Arial" w:hAnsi="Arial" w:eastAsia="Arial" w:cs="Arial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6"/>
      <w:ind w:left="1416" w:hanging="281"/>
      <w:jc w:val="both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ato.gov.au/LCT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Home Affairs</dc:creator>
  <cp:keywords>notice, luxury car tax, concession</cp:keywords>
  <dc:title>Department of Home Affairs Notice - Luxury Car Tax exemption under Item 7 in Schedule of the Customs Tariff Act </dc:title>
  <dcterms:created xsi:type="dcterms:W3CDTF">2020-12-09T23:17:00Z</dcterms:created>
  <dcterms:modified xsi:type="dcterms:W3CDTF">2020-12-09T23:17:00Z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2018-01-09T00:00:00Z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