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-1577430</wp:posOffset>
            </wp:positionV>
            <wp:extent cx="7559674" cy="1481448"/>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81448"/>
                    </a:xfrm>
                    <a:prstGeom prst="rect">
                      <a:avLst/>
                    </a:prstGeom>
                  </pic:spPr>
                </pic:pic>
              </a:graphicData>
            </a:graphic>
          </wp:anchor>
        </w:drawing>
      </w:r>
      <w:r>
        <w:rPr/>
        <w:t>DEPARTMENT OF HOME AFFAIRS NOTICE</w:t>
      </w:r>
    </w:p>
    <w:p>
      <w:pPr>
        <w:pStyle w:val="Title"/>
        <w:spacing w:before="201"/>
      </w:pPr>
      <w:r>
        <w:rPr/>
        <w:pict>
          <v:rect style="position:absolute;margin-left:55.919998pt;margin-top:30.260811pt;width:506.04pt;height:.481pt;mso-position-horizontal-relative:page;mso-position-vertical-relative:paragraph;z-index:-15728640;mso-wrap-distance-left:0;mso-wrap-distance-right:0" filled="true" fillcolor="#4f81bd" stroked="false">
            <v:fill type="solid"/>
            <w10:wrap type="topAndBottom"/>
          </v:rect>
        </w:pict>
      </w:r>
      <w:r>
        <w:rPr/>
        <w:t>No. 2018/</w:t>
      </w:r>
      <w:r>
        <w:rPr>
          <w:color w:val="050505"/>
        </w:rPr>
        <w:t>11</w:t>
      </w:r>
    </w:p>
    <w:p>
      <w:pPr>
        <w:pStyle w:val="BodyText"/>
        <w:spacing w:before="7"/>
        <w:rPr>
          <w:b/>
          <w:sz w:val="13"/>
        </w:rPr>
      </w:pPr>
    </w:p>
    <w:p>
      <w:pPr>
        <w:spacing w:before="91"/>
        <w:ind w:left="2090" w:right="2092" w:firstLine="0"/>
        <w:jc w:val="center"/>
        <w:rPr>
          <w:b/>
          <w:sz w:val="26"/>
        </w:rPr>
      </w:pPr>
      <w:bookmarkStart w:name="Applications for Customs Broker Licence" w:id="1"/>
      <w:bookmarkEnd w:id="1"/>
      <w:r>
        <w:rPr/>
      </w:r>
      <w:r>
        <w:rPr>
          <w:b/>
          <w:sz w:val="26"/>
        </w:rPr>
        <w:t>Applications for Customs Broker Licence</w:t>
      </w:r>
    </w:p>
    <w:p>
      <w:pPr>
        <w:pStyle w:val="BodyText"/>
        <w:spacing w:before="7"/>
        <w:rPr>
          <w:b/>
          <w:sz w:val="24"/>
        </w:rPr>
      </w:pPr>
    </w:p>
    <w:p>
      <w:pPr>
        <w:pStyle w:val="BodyText"/>
        <w:ind w:left="720" w:right="1031"/>
      </w:pPr>
      <w:r>
        <w:rPr/>
        <w:t>The following individuals and companies have applied to the Comptroller-General of Customs for a customs broker licence.</w:t>
      </w:r>
    </w:p>
    <w:p>
      <w:pPr>
        <w:pStyle w:val="BodyText"/>
        <w:spacing w:before="5"/>
        <w:rPr>
          <w:sz w:val="22"/>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7"/>
        <w:gridCol w:w="3189"/>
        <w:gridCol w:w="2368"/>
      </w:tblGrid>
      <w:tr>
        <w:trPr>
          <w:trHeight w:val="228" w:hRule="atLeast"/>
        </w:trPr>
        <w:tc>
          <w:tcPr>
            <w:tcW w:w="3457" w:type="dxa"/>
          </w:tcPr>
          <w:p>
            <w:pPr>
              <w:pStyle w:val="TableParagraph"/>
              <w:spacing w:line="208" w:lineRule="exact"/>
              <w:ind w:left="200"/>
              <w:rPr>
                <w:b/>
                <w:sz w:val="20"/>
              </w:rPr>
            </w:pPr>
            <w:r>
              <w:rPr>
                <w:b/>
                <w:color w:val="050505"/>
                <w:sz w:val="20"/>
                <w:u w:val="thick" w:color="050505"/>
              </w:rPr>
              <w:t>COMPANY</w:t>
            </w:r>
          </w:p>
        </w:tc>
        <w:tc>
          <w:tcPr>
            <w:tcW w:w="3189" w:type="dxa"/>
          </w:tcPr>
          <w:p>
            <w:pPr>
              <w:pStyle w:val="TableParagraph"/>
              <w:spacing w:line="208" w:lineRule="exact"/>
              <w:ind w:left="-1"/>
              <w:rPr>
                <w:b/>
                <w:sz w:val="20"/>
              </w:rPr>
            </w:pPr>
            <w:r>
              <w:rPr>
                <w:b/>
                <w:color w:val="050505"/>
                <w:sz w:val="20"/>
                <w:u w:val="thick" w:color="050505"/>
              </w:rPr>
              <w:t>COMPANY</w:t>
            </w:r>
          </w:p>
        </w:tc>
        <w:tc>
          <w:tcPr>
            <w:tcW w:w="2368" w:type="dxa"/>
          </w:tcPr>
          <w:p>
            <w:pPr>
              <w:pStyle w:val="TableParagraph"/>
              <w:spacing w:line="208" w:lineRule="exact"/>
              <w:ind w:left="211"/>
              <w:rPr>
                <w:b/>
                <w:sz w:val="20"/>
              </w:rPr>
            </w:pPr>
            <w:r>
              <w:rPr>
                <w:b/>
                <w:color w:val="050505"/>
                <w:sz w:val="20"/>
                <w:u w:val="thick" w:color="050505"/>
              </w:rPr>
              <w:t>INDIVIDUALS</w:t>
            </w:r>
          </w:p>
        </w:tc>
      </w:tr>
      <w:tr>
        <w:trPr>
          <w:trHeight w:val="231" w:hRule="atLeast"/>
        </w:trPr>
        <w:tc>
          <w:tcPr>
            <w:tcW w:w="3457" w:type="dxa"/>
          </w:tcPr>
          <w:p>
            <w:pPr>
              <w:pStyle w:val="TableParagraph"/>
              <w:spacing w:line="211" w:lineRule="exact"/>
              <w:ind w:left="200"/>
              <w:rPr>
                <w:sz w:val="20"/>
              </w:rPr>
            </w:pPr>
            <w:r>
              <w:rPr>
                <w:color w:val="050505"/>
                <w:sz w:val="20"/>
              </w:rPr>
              <w:t>Iconic Clearances Pty. Ltd..</w:t>
            </w:r>
          </w:p>
        </w:tc>
        <w:tc>
          <w:tcPr>
            <w:tcW w:w="3189" w:type="dxa"/>
          </w:tcPr>
          <w:p>
            <w:pPr>
              <w:pStyle w:val="TableParagraph"/>
              <w:spacing w:line="211" w:lineRule="exact"/>
              <w:ind w:left="-1"/>
              <w:rPr>
                <w:sz w:val="20"/>
              </w:rPr>
            </w:pPr>
            <w:r>
              <w:rPr>
                <w:color w:val="050505"/>
                <w:sz w:val="20"/>
              </w:rPr>
              <w:t>ASEA 360 Consolidation Pty. Ltd.</w:t>
            </w:r>
          </w:p>
        </w:tc>
        <w:tc>
          <w:tcPr>
            <w:tcW w:w="2368" w:type="dxa"/>
          </w:tcPr>
          <w:p>
            <w:pPr>
              <w:pStyle w:val="TableParagraph"/>
              <w:spacing w:line="211" w:lineRule="exact"/>
              <w:ind w:left="211"/>
              <w:rPr>
                <w:sz w:val="20"/>
              </w:rPr>
            </w:pPr>
            <w:r>
              <w:rPr>
                <w:sz w:val="20"/>
              </w:rPr>
              <w:t>Caine Jai Ittensohn</w:t>
            </w:r>
          </w:p>
        </w:tc>
      </w:tr>
      <w:tr>
        <w:trPr>
          <w:trHeight w:val="230" w:hRule="atLeast"/>
        </w:trPr>
        <w:tc>
          <w:tcPr>
            <w:tcW w:w="3457" w:type="dxa"/>
          </w:tcPr>
          <w:p>
            <w:pPr>
              <w:pStyle w:val="TableParagraph"/>
              <w:rPr>
                <w:rFonts w:ascii="Times New Roman"/>
                <w:sz w:val="16"/>
              </w:rPr>
            </w:pPr>
          </w:p>
        </w:tc>
        <w:tc>
          <w:tcPr>
            <w:tcW w:w="3189" w:type="dxa"/>
          </w:tcPr>
          <w:p>
            <w:pPr>
              <w:pStyle w:val="TableParagraph"/>
              <w:rPr>
                <w:rFonts w:ascii="Times New Roman"/>
                <w:sz w:val="16"/>
              </w:rPr>
            </w:pPr>
          </w:p>
        </w:tc>
        <w:tc>
          <w:tcPr>
            <w:tcW w:w="2368" w:type="dxa"/>
          </w:tcPr>
          <w:p>
            <w:pPr>
              <w:pStyle w:val="TableParagraph"/>
              <w:spacing w:line="210" w:lineRule="exact"/>
              <w:ind w:left="211"/>
              <w:rPr>
                <w:sz w:val="20"/>
              </w:rPr>
            </w:pPr>
            <w:r>
              <w:rPr>
                <w:sz w:val="20"/>
              </w:rPr>
              <w:t>Robert Leslie Thomas</w:t>
            </w:r>
          </w:p>
        </w:tc>
      </w:tr>
      <w:tr>
        <w:trPr>
          <w:trHeight w:val="344" w:hRule="atLeast"/>
        </w:trPr>
        <w:tc>
          <w:tcPr>
            <w:tcW w:w="3457" w:type="dxa"/>
          </w:tcPr>
          <w:p>
            <w:pPr>
              <w:pStyle w:val="TableParagraph"/>
              <w:spacing w:line="227" w:lineRule="exact"/>
              <w:ind w:left="200"/>
              <w:rPr>
                <w:sz w:val="20"/>
              </w:rPr>
            </w:pPr>
            <w:r>
              <w:rPr>
                <w:color w:val="050505"/>
                <w:sz w:val="20"/>
              </w:rPr>
              <w:t>ABN 26 613 749 054</w:t>
            </w:r>
          </w:p>
        </w:tc>
        <w:tc>
          <w:tcPr>
            <w:tcW w:w="3189" w:type="dxa"/>
          </w:tcPr>
          <w:p>
            <w:pPr>
              <w:pStyle w:val="TableParagraph"/>
              <w:spacing w:line="227" w:lineRule="exact"/>
              <w:ind w:left="-1"/>
              <w:rPr>
                <w:sz w:val="20"/>
              </w:rPr>
            </w:pPr>
            <w:r>
              <w:rPr>
                <w:color w:val="050505"/>
                <w:sz w:val="20"/>
              </w:rPr>
              <w:t>70 619 203 397</w:t>
            </w:r>
          </w:p>
        </w:tc>
        <w:tc>
          <w:tcPr>
            <w:tcW w:w="2368" w:type="dxa"/>
          </w:tcPr>
          <w:p>
            <w:pPr>
              <w:pStyle w:val="TableParagraph"/>
              <w:spacing w:line="227" w:lineRule="exact"/>
              <w:ind w:left="211"/>
              <w:rPr>
                <w:sz w:val="20"/>
              </w:rPr>
            </w:pPr>
            <w:r>
              <w:rPr>
                <w:sz w:val="20"/>
              </w:rPr>
              <w:t>Wenxia Yao</w:t>
            </w:r>
          </w:p>
        </w:tc>
      </w:tr>
      <w:tr>
        <w:trPr>
          <w:trHeight w:val="344" w:hRule="atLeast"/>
        </w:trPr>
        <w:tc>
          <w:tcPr>
            <w:tcW w:w="3457" w:type="dxa"/>
          </w:tcPr>
          <w:p>
            <w:pPr>
              <w:pStyle w:val="TableParagraph"/>
              <w:rPr>
                <w:rFonts w:ascii="Times New Roman"/>
                <w:sz w:val="20"/>
              </w:rPr>
            </w:pPr>
          </w:p>
        </w:tc>
        <w:tc>
          <w:tcPr>
            <w:tcW w:w="3189" w:type="dxa"/>
          </w:tcPr>
          <w:p>
            <w:pPr>
              <w:pStyle w:val="TableParagraph"/>
              <w:spacing w:line="214" w:lineRule="exact" w:before="110"/>
              <w:ind w:left="-1"/>
              <w:rPr>
                <w:sz w:val="20"/>
              </w:rPr>
            </w:pPr>
            <w:r>
              <w:rPr>
                <w:color w:val="050505"/>
                <w:sz w:val="20"/>
              </w:rPr>
              <w:t>1</w:t>
            </w:r>
            <w:r>
              <w:rPr>
                <w:color w:val="050505"/>
                <w:position w:val="6"/>
                <w:sz w:val="13"/>
              </w:rPr>
              <w:t>st </w:t>
            </w:r>
            <w:r>
              <w:rPr>
                <w:color w:val="050505"/>
                <w:sz w:val="20"/>
              </w:rPr>
              <w:t>Floor</w:t>
            </w:r>
          </w:p>
        </w:tc>
        <w:tc>
          <w:tcPr>
            <w:tcW w:w="2368" w:type="dxa"/>
          </w:tcPr>
          <w:p>
            <w:pPr>
              <w:pStyle w:val="TableParagraph"/>
              <w:rPr>
                <w:rFonts w:ascii="Times New Roman"/>
                <w:sz w:val="20"/>
              </w:rPr>
            </w:pPr>
          </w:p>
        </w:tc>
      </w:tr>
      <w:tr>
        <w:trPr>
          <w:trHeight w:val="230" w:hRule="atLeast"/>
        </w:trPr>
        <w:tc>
          <w:tcPr>
            <w:tcW w:w="3457" w:type="dxa"/>
          </w:tcPr>
          <w:p>
            <w:pPr>
              <w:pStyle w:val="TableParagraph"/>
              <w:spacing w:line="210" w:lineRule="exact"/>
              <w:ind w:left="200"/>
              <w:rPr>
                <w:sz w:val="20"/>
              </w:rPr>
            </w:pPr>
            <w:r>
              <w:rPr>
                <w:color w:val="050505"/>
                <w:sz w:val="20"/>
              </w:rPr>
              <w:t>17 Langdon Avenue</w:t>
            </w:r>
          </w:p>
        </w:tc>
        <w:tc>
          <w:tcPr>
            <w:tcW w:w="3189" w:type="dxa"/>
          </w:tcPr>
          <w:p>
            <w:pPr>
              <w:pStyle w:val="TableParagraph"/>
              <w:spacing w:line="210" w:lineRule="exact"/>
              <w:ind w:left="-1"/>
              <w:rPr>
                <w:sz w:val="20"/>
              </w:rPr>
            </w:pPr>
            <w:r>
              <w:rPr>
                <w:color w:val="050505"/>
                <w:sz w:val="20"/>
              </w:rPr>
              <w:t>4 Aviation Place</w:t>
            </w:r>
          </w:p>
        </w:tc>
        <w:tc>
          <w:tcPr>
            <w:tcW w:w="2368" w:type="dxa"/>
          </w:tcPr>
          <w:p>
            <w:pPr>
              <w:pStyle w:val="TableParagraph"/>
              <w:rPr>
                <w:rFonts w:ascii="Times New Roman"/>
                <w:sz w:val="16"/>
              </w:rPr>
            </w:pPr>
          </w:p>
        </w:tc>
      </w:tr>
      <w:tr>
        <w:trPr>
          <w:trHeight w:val="344" w:hRule="atLeast"/>
        </w:trPr>
        <w:tc>
          <w:tcPr>
            <w:tcW w:w="3457" w:type="dxa"/>
          </w:tcPr>
          <w:p>
            <w:pPr>
              <w:pStyle w:val="TableParagraph"/>
              <w:spacing w:line="227" w:lineRule="exact"/>
              <w:ind w:left="200"/>
              <w:rPr>
                <w:sz w:val="20"/>
              </w:rPr>
            </w:pPr>
            <w:r>
              <w:rPr>
                <w:color w:val="050505"/>
                <w:sz w:val="20"/>
              </w:rPr>
              <w:t>Margate QLD</w:t>
            </w:r>
            <w:r>
              <w:rPr>
                <w:color w:val="050505"/>
                <w:spacing w:val="51"/>
                <w:sz w:val="20"/>
              </w:rPr>
              <w:t> </w:t>
            </w:r>
            <w:r>
              <w:rPr>
                <w:color w:val="050505"/>
                <w:sz w:val="20"/>
              </w:rPr>
              <w:t>4019</w:t>
            </w:r>
          </w:p>
        </w:tc>
        <w:tc>
          <w:tcPr>
            <w:tcW w:w="3189" w:type="dxa"/>
          </w:tcPr>
          <w:p>
            <w:pPr>
              <w:pStyle w:val="TableParagraph"/>
              <w:spacing w:line="227" w:lineRule="exact"/>
              <w:ind w:left="-1"/>
              <w:rPr>
                <w:sz w:val="20"/>
              </w:rPr>
            </w:pPr>
            <w:r>
              <w:rPr>
                <w:color w:val="050505"/>
                <w:sz w:val="20"/>
              </w:rPr>
              <w:t>Tullamarine VIC</w:t>
            </w:r>
            <w:r>
              <w:rPr>
                <w:color w:val="050505"/>
                <w:spacing w:val="52"/>
                <w:sz w:val="20"/>
              </w:rPr>
              <w:t> </w:t>
            </w:r>
            <w:r>
              <w:rPr>
                <w:color w:val="050505"/>
                <w:sz w:val="20"/>
              </w:rPr>
              <w:t>3043</w:t>
            </w:r>
          </w:p>
        </w:tc>
        <w:tc>
          <w:tcPr>
            <w:tcW w:w="2368" w:type="dxa"/>
          </w:tcPr>
          <w:p>
            <w:pPr>
              <w:pStyle w:val="TableParagraph"/>
              <w:rPr>
                <w:rFonts w:ascii="Times New Roman"/>
                <w:sz w:val="20"/>
              </w:rPr>
            </w:pPr>
          </w:p>
        </w:tc>
      </w:tr>
      <w:tr>
        <w:trPr>
          <w:trHeight w:val="344" w:hRule="atLeast"/>
        </w:trPr>
        <w:tc>
          <w:tcPr>
            <w:tcW w:w="3457" w:type="dxa"/>
          </w:tcPr>
          <w:p>
            <w:pPr>
              <w:pStyle w:val="TableParagraph"/>
              <w:spacing w:line="214" w:lineRule="exact" w:before="110"/>
              <w:ind w:left="200"/>
              <w:rPr>
                <w:b/>
                <w:sz w:val="20"/>
              </w:rPr>
            </w:pPr>
            <w:r>
              <w:rPr>
                <w:b/>
                <w:color w:val="050505"/>
                <w:sz w:val="20"/>
                <w:u w:val="thick" w:color="050505"/>
              </w:rPr>
              <w:t>Person in Authority</w:t>
            </w:r>
          </w:p>
        </w:tc>
        <w:tc>
          <w:tcPr>
            <w:tcW w:w="3189" w:type="dxa"/>
          </w:tcPr>
          <w:p>
            <w:pPr>
              <w:pStyle w:val="TableParagraph"/>
              <w:spacing w:line="214" w:lineRule="exact" w:before="110"/>
              <w:ind w:left="-1"/>
              <w:rPr>
                <w:b/>
                <w:sz w:val="20"/>
              </w:rPr>
            </w:pPr>
            <w:r>
              <w:rPr>
                <w:b/>
                <w:color w:val="050505"/>
                <w:sz w:val="20"/>
                <w:u w:val="thick" w:color="050505"/>
              </w:rPr>
              <w:t>Person in Authority</w:t>
            </w:r>
          </w:p>
        </w:tc>
        <w:tc>
          <w:tcPr>
            <w:tcW w:w="2368" w:type="dxa"/>
          </w:tcPr>
          <w:p>
            <w:pPr>
              <w:pStyle w:val="TableParagraph"/>
              <w:rPr>
                <w:rFonts w:ascii="Times New Roman"/>
                <w:sz w:val="20"/>
              </w:rPr>
            </w:pPr>
          </w:p>
        </w:tc>
      </w:tr>
      <w:tr>
        <w:trPr>
          <w:trHeight w:val="459" w:hRule="atLeast"/>
        </w:trPr>
        <w:tc>
          <w:tcPr>
            <w:tcW w:w="3457" w:type="dxa"/>
          </w:tcPr>
          <w:p>
            <w:pPr>
              <w:pStyle w:val="TableParagraph"/>
              <w:spacing w:line="226" w:lineRule="exact"/>
              <w:ind w:left="200"/>
              <w:rPr>
                <w:sz w:val="20"/>
              </w:rPr>
            </w:pPr>
            <w:r>
              <w:rPr>
                <w:color w:val="050505"/>
                <w:sz w:val="20"/>
              </w:rPr>
              <w:t>Constandinos Pachos</w:t>
            </w:r>
          </w:p>
        </w:tc>
        <w:tc>
          <w:tcPr>
            <w:tcW w:w="3189" w:type="dxa"/>
          </w:tcPr>
          <w:p>
            <w:pPr>
              <w:pStyle w:val="TableParagraph"/>
              <w:spacing w:line="226" w:lineRule="exact"/>
              <w:ind w:left="-1"/>
              <w:rPr>
                <w:sz w:val="20"/>
              </w:rPr>
            </w:pPr>
            <w:r>
              <w:rPr>
                <w:color w:val="050505"/>
                <w:sz w:val="20"/>
              </w:rPr>
              <w:t>Nicholas Kenneth Hilton</w:t>
            </w:r>
          </w:p>
        </w:tc>
        <w:tc>
          <w:tcPr>
            <w:tcW w:w="2368" w:type="dxa"/>
          </w:tcPr>
          <w:p>
            <w:pPr>
              <w:pStyle w:val="TableParagraph"/>
              <w:rPr>
                <w:rFonts w:ascii="Times New Roman"/>
                <w:sz w:val="20"/>
              </w:rPr>
            </w:pPr>
          </w:p>
        </w:tc>
      </w:tr>
      <w:tr>
        <w:trPr>
          <w:trHeight w:val="441" w:hRule="atLeast"/>
        </w:trPr>
        <w:tc>
          <w:tcPr>
            <w:tcW w:w="3457" w:type="dxa"/>
          </w:tcPr>
          <w:p>
            <w:pPr>
              <w:pStyle w:val="TableParagraph"/>
              <w:spacing w:before="7"/>
              <w:rPr>
                <w:sz w:val="19"/>
              </w:rPr>
            </w:pPr>
          </w:p>
          <w:p>
            <w:pPr>
              <w:pStyle w:val="TableParagraph"/>
              <w:spacing w:line="196" w:lineRule="exact"/>
              <w:ind w:left="200"/>
              <w:rPr>
                <w:b/>
                <w:sz w:val="20"/>
              </w:rPr>
            </w:pPr>
            <w:r>
              <w:rPr>
                <w:b/>
                <w:color w:val="050505"/>
                <w:sz w:val="20"/>
                <w:u w:val="thick" w:color="050505"/>
              </w:rPr>
              <w:t>Nominee Broker</w:t>
            </w:r>
          </w:p>
        </w:tc>
        <w:tc>
          <w:tcPr>
            <w:tcW w:w="3189" w:type="dxa"/>
            <w:tcBorders>
              <w:bottom w:val="single" w:sz="12" w:space="0" w:color="050505"/>
            </w:tcBorders>
          </w:tcPr>
          <w:p>
            <w:pPr>
              <w:pStyle w:val="TableParagraph"/>
              <w:spacing w:before="7"/>
              <w:rPr>
                <w:sz w:val="19"/>
              </w:rPr>
            </w:pPr>
          </w:p>
          <w:p>
            <w:pPr>
              <w:pStyle w:val="TableParagraph"/>
              <w:spacing w:line="185" w:lineRule="exact"/>
              <w:ind w:left="-1"/>
              <w:rPr>
                <w:b/>
                <w:sz w:val="20"/>
              </w:rPr>
            </w:pPr>
            <w:r>
              <w:rPr>
                <w:b/>
                <w:color w:val="050505"/>
                <w:sz w:val="20"/>
              </w:rPr>
              <w:t>Nominee Broker</w:t>
            </w:r>
          </w:p>
        </w:tc>
        <w:tc>
          <w:tcPr>
            <w:tcW w:w="2368" w:type="dxa"/>
          </w:tcPr>
          <w:p>
            <w:pPr>
              <w:pStyle w:val="TableParagraph"/>
              <w:rPr>
                <w:rFonts w:ascii="Times New Roman"/>
                <w:sz w:val="20"/>
              </w:rPr>
            </w:pPr>
          </w:p>
        </w:tc>
      </w:tr>
      <w:tr>
        <w:trPr>
          <w:trHeight w:val="216" w:hRule="atLeast"/>
        </w:trPr>
        <w:tc>
          <w:tcPr>
            <w:tcW w:w="3457" w:type="dxa"/>
          </w:tcPr>
          <w:p>
            <w:pPr>
              <w:pStyle w:val="TableParagraph"/>
              <w:spacing w:line="197" w:lineRule="exact"/>
              <w:ind w:left="200"/>
              <w:rPr>
                <w:sz w:val="20"/>
              </w:rPr>
            </w:pPr>
            <w:r>
              <w:rPr>
                <w:color w:val="050505"/>
                <w:sz w:val="20"/>
              </w:rPr>
              <w:t>Constandinos Pachos</w:t>
            </w:r>
          </w:p>
        </w:tc>
        <w:tc>
          <w:tcPr>
            <w:tcW w:w="3189" w:type="dxa"/>
            <w:tcBorders>
              <w:top w:val="single" w:sz="12" w:space="0" w:color="050505"/>
            </w:tcBorders>
          </w:tcPr>
          <w:p>
            <w:pPr>
              <w:pStyle w:val="TableParagraph"/>
              <w:spacing w:line="208" w:lineRule="exact"/>
              <w:ind w:left="-1"/>
              <w:rPr>
                <w:sz w:val="20"/>
              </w:rPr>
            </w:pPr>
            <w:r>
              <w:rPr>
                <w:color w:val="050505"/>
                <w:sz w:val="20"/>
              </w:rPr>
              <w:t>Lindsay Michael Jacgung</w:t>
            </w:r>
          </w:p>
        </w:tc>
        <w:tc>
          <w:tcPr>
            <w:tcW w:w="2368" w:type="dxa"/>
          </w:tcPr>
          <w:p>
            <w:pPr>
              <w:pStyle w:val="TableParagraph"/>
              <w:rPr>
                <w:rFonts w:ascii="Times New Roman"/>
                <w:sz w:val="14"/>
              </w:rPr>
            </w:pP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720" w:right="1542"/>
      </w:pPr>
      <w:r>
        <w:rPr/>
        <w:pict>
          <v:shapetype id="_x0000_t202" o:spt="202" coordsize="21600,21600" path="m,l,21600r21600,l21600,xe">
            <v:stroke joinstyle="miter"/>
            <v:path gradientshapeok="t" o:connecttype="rect"/>
          </v:shapetype>
          <v:shape style="position:absolute;margin-left:31.4pt;margin-top:41.653362pt;width:360.35pt;height:45.7pt;mso-position-horizontal-relative:page;mso-position-vertical-relative:paragraph;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3559"/>
                  </w:tblGrid>
                  <w:tr>
                    <w:trPr>
                      <w:trHeight w:val="913" w:hRule="atLeast"/>
                    </w:trPr>
                    <w:tc>
                      <w:tcPr>
                        <w:tcW w:w="3648" w:type="dxa"/>
                      </w:tcPr>
                      <w:p>
                        <w:pPr>
                          <w:pStyle w:val="TableParagraph"/>
                          <w:ind w:left="200" w:right="1244"/>
                          <w:rPr>
                            <w:sz w:val="20"/>
                          </w:rPr>
                        </w:pPr>
                        <w:r>
                          <w:rPr>
                            <w:sz w:val="20"/>
                          </w:rPr>
                          <w:t>Broker Licensing Australian Border Force 5 Constitution Avenue</w:t>
                        </w:r>
                      </w:p>
                      <w:p>
                        <w:pPr>
                          <w:pStyle w:val="TableParagraph"/>
                          <w:spacing w:line="210" w:lineRule="exact"/>
                          <w:ind w:left="200"/>
                          <w:rPr>
                            <w:sz w:val="20"/>
                          </w:rPr>
                        </w:pPr>
                        <w:r>
                          <w:rPr>
                            <w:sz w:val="20"/>
                          </w:rPr>
                          <w:t>CANBERRA ACT 2601</w:t>
                        </w:r>
                      </w:p>
                    </w:tc>
                    <w:tc>
                      <w:tcPr>
                        <w:tcW w:w="3559" w:type="dxa"/>
                      </w:tcPr>
                      <w:p>
                        <w:pPr>
                          <w:pStyle w:val="TableParagraph"/>
                          <w:spacing w:line="229" w:lineRule="exact" w:before="105"/>
                          <w:ind w:left="1337"/>
                          <w:rPr>
                            <w:sz w:val="20"/>
                          </w:rPr>
                        </w:pPr>
                        <w:r>
                          <w:rPr>
                            <w:sz w:val="20"/>
                          </w:rPr>
                          <w:t>Or email:</w:t>
                        </w:r>
                      </w:p>
                      <w:p>
                        <w:pPr>
                          <w:pStyle w:val="TableParagraph"/>
                          <w:spacing w:line="252" w:lineRule="exact"/>
                          <w:ind w:left="1337"/>
                          <w:rPr>
                            <w:sz w:val="22"/>
                          </w:rPr>
                        </w:pPr>
                        <w:hyperlink r:id="rId6">
                          <w:r>
                            <w:rPr>
                              <w:color w:val="002060"/>
                              <w:sz w:val="22"/>
                            </w:rPr>
                            <w:t>brokers.licensing@bor</w:t>
                          </w:r>
                        </w:hyperlink>
                      </w:p>
                    </w:tc>
                  </w:tr>
                </w:tbl>
                <w:p>
                  <w:pPr>
                    <w:pStyle w:val="BodyText"/>
                  </w:pPr>
                </w:p>
              </w:txbxContent>
            </v:textbox>
            <w10:wrap type="none"/>
          </v:shape>
        </w:pict>
      </w:r>
      <w:r>
        <w:rPr/>
        <w:t>Any person wishing to make written representation in respect of any of these applications should address the correspondence by 30 April 2018 to:</w:t>
      </w:r>
    </w:p>
    <w:p>
      <w:pPr>
        <w:pStyle w:val="BodyText"/>
        <w:rPr>
          <w:sz w:val="22"/>
        </w:rPr>
      </w:pPr>
    </w:p>
    <w:p>
      <w:pPr>
        <w:pStyle w:val="BodyText"/>
        <w:spacing w:before="6"/>
        <w:rPr>
          <w:sz w:val="27"/>
        </w:rPr>
      </w:pPr>
    </w:p>
    <w:p>
      <w:pPr>
        <w:spacing w:before="1"/>
        <w:ind w:left="7806" w:right="0" w:firstLine="0"/>
        <w:jc w:val="left"/>
        <w:rPr>
          <w:sz w:val="22"/>
        </w:rPr>
      </w:pPr>
      <w:r>
        <w:rPr/>
        <w:pict>
          <v:rect style="position:absolute;margin-left:280.679993pt;margin-top:11.567871pt;width:161.519pt;height:.84pt;mso-position-horizontal-relative:page;mso-position-vertical-relative:paragraph;z-index:15730688" filled="true" fillcolor="#002060" stroked="false">
            <v:fill type="solid"/>
            <w10:wrap type="none"/>
          </v:rect>
        </w:pict>
      </w:r>
      <w:hyperlink r:id="rId6">
        <w:r>
          <w:rPr>
            <w:color w:val="002060"/>
            <w:sz w:val="22"/>
          </w:rPr>
          <w:t>der.gov.au</w:t>
        </w:r>
      </w:hyperlink>
    </w:p>
    <w:p>
      <w:pPr>
        <w:pStyle w:val="BodyText"/>
        <w:rPr>
          <w:sz w:val="24"/>
        </w:rPr>
      </w:pPr>
    </w:p>
    <w:p>
      <w:pPr>
        <w:pStyle w:val="BodyText"/>
        <w:spacing w:before="8"/>
        <w:rPr>
          <w:sz w:val="25"/>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460" w:lineRule="atLeast" w:before="120"/>
        <w:ind w:left="719" w:right="10226"/>
      </w:pPr>
      <w:r>
        <w:rPr/>
        <w:t>[signed] Lyn Foster</w:t>
      </w:r>
    </w:p>
    <w:p>
      <w:pPr>
        <w:pStyle w:val="BodyText"/>
        <w:spacing w:before="1"/>
        <w:ind w:left="719"/>
      </w:pPr>
      <w:r>
        <w:rPr/>
        <w:t>Acting Superintendent</w:t>
      </w:r>
    </w:p>
    <w:p>
      <w:pPr>
        <w:pStyle w:val="BodyText"/>
        <w:spacing w:before="1"/>
        <w:ind w:left="720" w:right="7934"/>
      </w:pPr>
      <w:r>
        <w:rPr/>
        <w:t>Trade and Goods Operational Policy CANBERRA ACT</w:t>
      </w:r>
    </w:p>
    <w:p>
      <w:pPr>
        <w:pStyle w:val="BodyText"/>
        <w:spacing w:before="10"/>
        <w:rPr>
          <w:sz w:val="19"/>
        </w:rPr>
      </w:pPr>
    </w:p>
    <w:p>
      <w:pPr>
        <w:pStyle w:val="BodyText"/>
        <w:ind w:left="830"/>
      </w:pPr>
      <w:r>
        <w:rPr/>
        <w:t>5 April 2017</w:t>
      </w:r>
    </w:p>
    <w:p>
      <w:pPr>
        <w:pStyle w:val="BodyText"/>
      </w:pPr>
    </w:p>
    <w:p>
      <w:pPr>
        <w:pStyle w:val="BodyText"/>
      </w:pPr>
    </w:p>
    <w:p>
      <w:pPr>
        <w:pStyle w:val="BodyText"/>
      </w:pPr>
    </w:p>
    <w:p>
      <w:pPr>
        <w:pStyle w:val="BodyText"/>
      </w:pPr>
    </w:p>
    <w:p>
      <w:pPr>
        <w:pStyle w:val="BodyText"/>
        <w:spacing w:before="4"/>
        <w:rPr>
          <w:sz w:val="10"/>
        </w:rPr>
      </w:pPr>
      <w:r>
        <w:rPr/>
        <w:pict>
          <v:rect style="position:absolute;margin-left:56.639999pt;margin-top:7.91819pt;width:481.92pt;height:.481pt;mso-position-horizontal-relative:page;mso-position-vertical-relative:paragraph;z-index:-15728128;mso-wrap-distance-left:0;mso-wrap-distance-right:0" filled="true" fillcolor="#000000" stroked="false">
            <v:fill type="solid"/>
            <w10:wrap type="topAndBottom"/>
          </v:rect>
        </w:pict>
      </w:r>
    </w:p>
    <w:p>
      <w:pPr>
        <w:spacing w:before="130"/>
        <w:ind w:left="2092" w:right="2092" w:firstLine="0"/>
        <w:jc w:val="center"/>
        <w:rPr>
          <w:sz w:val="16"/>
        </w:rPr>
      </w:pPr>
      <w:r>
        <w:rPr>
          <w:sz w:val="16"/>
        </w:rPr>
        <w:t>6 Chan Street Belconnen ACT 2617</w:t>
      </w:r>
    </w:p>
    <w:p>
      <w:pPr>
        <w:spacing w:before="18"/>
        <w:ind w:left="2092" w:right="2092" w:firstLine="0"/>
        <w:jc w:val="center"/>
        <w:rPr>
          <w:sz w:val="16"/>
        </w:rPr>
      </w:pPr>
      <w:r>
        <w:rPr>
          <w:sz w:val="16"/>
        </w:rPr>
        <w:t>PO Box 25 Belconnen ACT 2616 • Telephone: 02 6264 1111 • Fax: 02 6225 6970 •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2092" w:right="164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Broker Licence</cp:keywords>
  <dc:subject>Applications for Customs Broker Licence</dc:subject>
  <dc:title>Home Affairs Notice No. 2018/11 </dc:title>
  <dcterms:created xsi:type="dcterms:W3CDTF">2020-12-09T23:10:37Z</dcterms:created>
  <dcterms:modified xsi:type="dcterms:W3CDTF">2020-12-09T23:10:37Z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Acrobat PDFMaker 15 for Word</vt:lpwstr>
  </property>
  <property fmtid="{D5CDD505-2E9C-101B-9397-08002B2CF9AE}" pid="4" name="LastSaved">
    <vt:filetime>2020-12-09T00:00:00Z</vt:filetime>
  </property>
</Properties>
</file>