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1"/>
        </w:rPr>
      </w:pPr>
    </w:p>
    <w:p>
      <w:pPr>
        <w:pStyle w:val="Title"/>
        <w:spacing w:line="379" w:lineRule="auto"/>
      </w:pPr>
      <w:r>
        <w:rPr/>
        <w:pict>
          <v:group style="position:absolute;margin-left:0pt;margin-top:-150.674805pt;width:594.85pt;height:116pt;mso-position-horizontal-relative:page;mso-position-vertical-relative:paragraph;z-index:15728640" coordorigin="0,-3013" coordsize="11897,2320">
            <v:shape style="position:absolute;left:0;top:-3014;width:11897;height:2320" type="#_x0000_t75" stroked="false">
              <v:imagedata r:id="rId5" o:title=""/>
            </v:shape>
            <v:shape style="position:absolute;left:679;top:-2336;width:1368;height:1015" type="#_x0000_t75" stroked="false">
              <v:imagedata r:id="rId6" o:title=""/>
            </v:shape>
            <v:line style="position:absolute" from="2173,-1698" to="5096,-1698" stroked="true" strokeweight=".748494pt" strokecolor="#ffffff">
              <v:stroke dashstyle="solid"/>
            </v:line>
            <v:shapetype id="_x0000_t202" o:spt="202" coordsize="21600,21600" path="m,l,21600r21600,l21600,xe">
              <v:stroke joinstyle="miter"/>
              <v:path gradientshapeok="t" o:connecttype="rect"/>
            </v:shapetype>
            <v:shape style="position:absolute;left:0;top:-3014;width:11897;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4"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color w:val="034EA1"/>
        </w:rPr>
        <w:t>DEPARTMENT OF HOME AFFAIRS NOTICE No. 2018/12</w:t>
      </w:r>
    </w:p>
    <w:p>
      <w:pPr>
        <w:spacing w:line="261" w:lineRule="auto" w:before="0"/>
        <w:ind w:left="1133" w:right="1982" w:firstLine="0"/>
        <w:jc w:val="left"/>
        <w:rPr>
          <w:b/>
          <w:sz w:val="28"/>
        </w:rPr>
      </w:pPr>
      <w:r>
        <w:rPr>
          <w:b/>
          <w:sz w:val="28"/>
        </w:rPr>
        <w:t>Amendments to Customs (Prohibited Exports) Regulations 1958 – Defence and Strategic Goods</w:t>
      </w:r>
    </w:p>
    <w:p>
      <w:pPr>
        <w:pStyle w:val="BodyText"/>
        <w:spacing w:line="264" w:lineRule="auto" w:before="129"/>
        <w:ind w:left="1133" w:right="1300"/>
        <w:jc w:val="both"/>
      </w:pPr>
      <w:r>
        <w:rPr/>
        <w:t>Regulation 13E of the Customs (Prohibited Exports) Regulations 1958 (the Regulations) prohibits the</w:t>
      </w:r>
      <w:r>
        <w:rPr>
          <w:spacing w:val="-4"/>
        </w:rPr>
        <w:t> </w:t>
      </w:r>
      <w:r>
        <w:rPr/>
        <w:t>export</w:t>
      </w:r>
      <w:r>
        <w:rPr>
          <w:spacing w:val="-5"/>
        </w:rPr>
        <w:t> </w:t>
      </w:r>
      <w:r>
        <w:rPr/>
        <w:t>of</w:t>
      </w:r>
      <w:r>
        <w:rPr>
          <w:spacing w:val="-1"/>
        </w:rPr>
        <w:t> </w:t>
      </w:r>
      <w:r>
        <w:rPr/>
        <w:t>goods</w:t>
      </w:r>
      <w:r>
        <w:rPr>
          <w:spacing w:val="-11"/>
        </w:rPr>
        <w:t> </w:t>
      </w:r>
      <w:r>
        <w:rPr/>
        <w:t>listed</w:t>
      </w:r>
      <w:r>
        <w:rPr>
          <w:spacing w:val="-4"/>
        </w:rPr>
        <w:t> </w:t>
      </w:r>
      <w:r>
        <w:rPr/>
        <w:t>on the</w:t>
      </w:r>
      <w:r>
        <w:rPr>
          <w:spacing w:val="2"/>
        </w:rPr>
        <w:t> </w:t>
      </w:r>
      <w:r>
        <w:rPr>
          <w:i/>
        </w:rPr>
        <w:t>Defence</w:t>
      </w:r>
      <w:r>
        <w:rPr>
          <w:i/>
          <w:spacing w:val="-4"/>
        </w:rPr>
        <w:t> </w:t>
      </w:r>
      <w:r>
        <w:rPr>
          <w:i/>
        </w:rPr>
        <w:t>and Strategic</w:t>
      </w:r>
      <w:r>
        <w:rPr>
          <w:i/>
          <w:spacing w:val="-6"/>
        </w:rPr>
        <w:t> </w:t>
      </w:r>
      <w:r>
        <w:rPr>
          <w:i/>
        </w:rPr>
        <w:t>Goods</w:t>
      </w:r>
      <w:r>
        <w:rPr>
          <w:i/>
          <w:spacing w:val="-6"/>
        </w:rPr>
        <w:t> </w:t>
      </w:r>
      <w:r>
        <w:rPr>
          <w:i/>
        </w:rPr>
        <w:t>List </w:t>
      </w:r>
      <w:r>
        <w:rPr/>
        <w:t>(the DSGL)</w:t>
      </w:r>
      <w:r>
        <w:rPr>
          <w:spacing w:val="-8"/>
        </w:rPr>
        <w:t> </w:t>
      </w:r>
      <w:r>
        <w:rPr/>
        <w:t>unless</w:t>
      </w:r>
      <w:r>
        <w:rPr>
          <w:spacing w:val="-6"/>
        </w:rPr>
        <w:t> </w:t>
      </w:r>
      <w:r>
        <w:rPr/>
        <w:t>permission has been granted or an exemption</w:t>
      </w:r>
      <w:r>
        <w:rPr>
          <w:spacing w:val="-18"/>
        </w:rPr>
        <w:t> </w:t>
      </w:r>
      <w:r>
        <w:rPr/>
        <w:t>applies.</w:t>
      </w:r>
    </w:p>
    <w:p>
      <w:pPr>
        <w:pStyle w:val="BodyText"/>
        <w:spacing w:line="261" w:lineRule="auto" w:before="120"/>
        <w:ind w:left="1133" w:right="1267"/>
      </w:pPr>
      <w:r>
        <w:rPr/>
        <w:t>The Customs (Prohibited Exports) Amendment (Defence and Strategic Goods) Regulations 2018, which came into effect on 21 April 2018, has replaced regulation 13E of the Regulations with new regulations 13E to 13EK. These amendments were introduced to align the defence and strategic goods provisions of the Regulations with the </w:t>
      </w:r>
      <w:r>
        <w:rPr>
          <w:i/>
        </w:rPr>
        <w:t>Defence Trade Controls Act 2012</w:t>
      </w:r>
      <w:r>
        <w:rPr/>
        <w:t>.</w:t>
      </w:r>
    </w:p>
    <w:p>
      <w:pPr>
        <w:pStyle w:val="BodyText"/>
        <w:spacing w:line="264" w:lineRule="auto" w:before="131"/>
        <w:ind w:left="1133" w:right="1157"/>
      </w:pPr>
      <w:r>
        <w:rPr/>
        <w:t>Goods listed on the </w:t>
      </w:r>
      <w:r>
        <w:rPr>
          <w:spacing w:val="-3"/>
        </w:rPr>
        <w:t>DSGL </w:t>
      </w:r>
      <w:r>
        <w:rPr/>
        <w:t>remain controlled on export and goods containing DSGL technology are now explicitly prohibited from export unless permission has been granted, or an exemption applies. The new regulations also include enhanced powers for the Minister for Defence to revoke a permit where </w:t>
      </w:r>
      <w:r>
        <w:rPr>
          <w:spacing w:val="-3"/>
        </w:rPr>
        <w:t>it </w:t>
      </w:r>
      <w:r>
        <w:rPr/>
        <w:t>is determined that an export would prejudice the security, defence or international relations of</w:t>
      </w:r>
      <w:r>
        <w:rPr>
          <w:spacing w:val="-3"/>
        </w:rPr>
        <w:t> </w:t>
      </w:r>
      <w:r>
        <w:rPr/>
        <w:t>Australia.</w:t>
      </w:r>
    </w:p>
    <w:p>
      <w:pPr>
        <w:pStyle w:val="BodyText"/>
        <w:spacing w:line="264" w:lineRule="auto" w:before="121"/>
        <w:ind w:left="1133" w:right="1707"/>
      </w:pPr>
      <w:r>
        <w:rPr/>
        <w:t>The Department of Defence has published more detailed information on its website about the regulation amendments (see: </w:t>
      </w:r>
      <w:hyperlink r:id="rId7">
        <w:r>
          <w:rPr>
            <w:u w:val="single"/>
          </w:rPr>
          <w:t>http://www.defence.gov.au/ExportControls</w:t>
        </w:r>
      </w:hyperlink>
      <w:r>
        <w:rPr/>
        <w:t>).</w:t>
      </w:r>
    </w:p>
    <w:p>
      <w:pPr>
        <w:pStyle w:val="BodyText"/>
        <w:rPr>
          <w:sz w:val="20"/>
        </w:rPr>
      </w:pPr>
    </w:p>
    <w:p>
      <w:pPr>
        <w:pStyle w:val="BodyText"/>
        <w:rPr>
          <w:sz w:val="20"/>
        </w:rPr>
      </w:pPr>
    </w:p>
    <w:p>
      <w:pPr>
        <w:pStyle w:val="BodyText"/>
        <w:spacing w:before="2"/>
        <w:rPr>
          <w:sz w:val="29"/>
        </w:rPr>
      </w:pPr>
    </w:p>
    <w:p>
      <w:pPr>
        <w:pStyle w:val="BodyText"/>
        <w:spacing w:before="93"/>
        <w:ind w:left="1133"/>
      </w:pPr>
      <w:r>
        <w:rPr/>
        <w:t>[signed]</w:t>
      </w:r>
    </w:p>
    <w:p>
      <w:pPr>
        <w:pStyle w:val="BodyText"/>
        <w:rPr>
          <w:sz w:val="24"/>
        </w:rPr>
      </w:pPr>
    </w:p>
    <w:p>
      <w:pPr>
        <w:pStyle w:val="BodyText"/>
        <w:spacing w:before="2"/>
        <w:rPr>
          <w:sz w:val="19"/>
        </w:rPr>
      </w:pPr>
    </w:p>
    <w:p>
      <w:pPr>
        <w:pStyle w:val="BodyText"/>
        <w:ind w:left="1133"/>
      </w:pPr>
      <w:r>
        <w:rPr/>
        <w:t>Andrew Tankey</w:t>
      </w:r>
    </w:p>
    <w:p>
      <w:pPr>
        <w:pStyle w:val="BodyText"/>
        <w:spacing w:before="116"/>
        <w:ind w:left="1133"/>
      </w:pPr>
      <w:r>
        <w:rPr/>
        <w:t>Acting Assistant Secretary</w:t>
      </w:r>
    </w:p>
    <w:p>
      <w:pPr>
        <w:pStyle w:val="BodyText"/>
        <w:spacing w:line="355" w:lineRule="auto" w:before="122"/>
        <w:ind w:left="1133" w:right="7039"/>
      </w:pPr>
      <w:r>
        <w:rPr/>
        <w:t>Customs and Border Revenue Branch 21 April 2018</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Title" w:type="paragraph">
    <w:name w:val="Title"/>
    <w:basedOn w:val="Normal"/>
    <w:uiPriority w:val="1"/>
    <w:qFormat/>
    <w:pPr>
      <w:spacing w:before="88"/>
      <w:ind w:left="4744" w:right="1381" w:hanging="3280"/>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defence.gov.au/Export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Defence Strategic GoodsDefence Export Controls</cp:keywords>
  <dc:title>Department of Home Affairs Notice No. 2018/12</dc:title>
  <dcterms:created xsi:type="dcterms:W3CDTF">2020-12-09T23:05:40Z</dcterms:created>
  <dcterms:modified xsi:type="dcterms:W3CDTF">2020-12-09T23:05:40Z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Word 2016</vt:lpwstr>
  </property>
  <property fmtid="{D5CDD505-2E9C-101B-9397-08002B2CF9AE}" pid="4" name="LastSaved">
    <vt:filetime>2020-12-09T00:00:00Z</vt:filetime>
  </property>
</Properties>
</file>