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550464">
            <wp:simplePos x="0" y="0"/>
            <wp:positionH relativeFrom="page">
              <wp:posOffset>0</wp:posOffset>
            </wp:positionH>
            <wp:positionV relativeFrom="page">
              <wp:posOffset>4571</wp:posOffset>
            </wp:positionV>
            <wp:extent cx="7559675" cy="1465449"/>
            <wp:effectExtent l="0" t="0" r="0" b="0"/>
            <wp:wrapNone/>
            <wp:docPr id="1" name="image1.jpeg" descr="Australian Government Department of Home Affairs logo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465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Title"/>
        <w:spacing w:line="264" w:lineRule="auto"/>
      </w:pPr>
      <w:bookmarkStart w:name="Department of Home Affairs Notice No. 20" w:id="1"/>
      <w:bookmarkEnd w:id="1"/>
      <w:r>
        <w:rPr>
          <w:b w:val="0"/>
        </w:rPr>
      </w:r>
      <w:r>
        <w:rPr>
          <w:color w:val="034EA2"/>
        </w:rPr>
        <w:t>Department of Home Affairs Notice No. 2018/18</w:t>
      </w:r>
    </w:p>
    <w:p>
      <w:pPr>
        <w:spacing w:before="357"/>
        <w:ind w:left="112" w:right="0" w:firstLine="0"/>
        <w:jc w:val="left"/>
        <w:rPr>
          <w:b/>
          <w:sz w:val="28"/>
        </w:rPr>
      </w:pPr>
      <w:bookmarkStart w:name="Luxury car tax threshold and fuel effici" w:id="2"/>
      <w:bookmarkEnd w:id="2"/>
      <w:r>
        <w:rPr/>
      </w:r>
      <w:r>
        <w:rPr>
          <w:b/>
          <w:sz w:val="28"/>
        </w:rPr>
        <w:t>Luxury car tax threshold and fuel efficient car limit 2018-19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264" w:lineRule="auto"/>
        <w:ind w:left="112" w:right="161" w:hanging="1"/>
      </w:pPr>
      <w:r>
        <w:rPr/>
        <w:t>This Notice is to advise of the increase in the luxury car tax (LCT) threshold and the fuel efficient car limit for the 2018-19 financial year.</w:t>
      </w:r>
    </w:p>
    <w:p>
      <w:pPr>
        <w:pStyle w:val="BodyText"/>
        <w:spacing w:before="11"/>
      </w:pPr>
    </w:p>
    <w:p>
      <w:pPr>
        <w:pStyle w:val="BodyText"/>
        <w:ind w:left="112"/>
      </w:pPr>
      <w:r>
        <w:rPr/>
        <w:t>The Australian Taxation Office has determined that from 1 July 2018, the following will take effect: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  <w:tab w:pos="3712" w:val="left" w:leader="none"/>
        </w:tabs>
        <w:spacing w:line="240" w:lineRule="auto" w:before="0" w:after="0"/>
        <w:ind w:left="832" w:right="0" w:hanging="361"/>
        <w:jc w:val="left"/>
        <w:rPr>
          <w:sz w:val="20"/>
        </w:rPr>
      </w:pPr>
      <w:r>
        <w:rPr>
          <w:sz w:val="20"/>
        </w:rPr>
        <w:t>LCT</w:t>
      </w:r>
      <w:r>
        <w:rPr>
          <w:spacing w:val="-2"/>
          <w:sz w:val="20"/>
        </w:rPr>
        <w:t> </w:t>
      </w:r>
      <w:r>
        <w:rPr>
          <w:sz w:val="20"/>
        </w:rPr>
        <w:t>threshold</w:t>
        <w:tab/>
        <w:t>$66,331 (increased from</w:t>
      </w:r>
      <w:r>
        <w:rPr>
          <w:spacing w:val="1"/>
          <w:sz w:val="20"/>
        </w:rPr>
        <w:t> </w:t>
      </w:r>
      <w:r>
        <w:rPr>
          <w:sz w:val="20"/>
        </w:rPr>
        <w:t>$65,094)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  <w:tab w:pos="3712" w:val="left" w:leader="none"/>
        </w:tabs>
        <w:spacing w:line="240" w:lineRule="auto" w:before="1" w:after="0"/>
        <w:ind w:left="832" w:right="0" w:hanging="361"/>
        <w:jc w:val="left"/>
        <w:rPr>
          <w:sz w:val="20"/>
        </w:rPr>
      </w:pPr>
      <w:r>
        <w:rPr>
          <w:sz w:val="20"/>
        </w:rPr>
        <w:t>Fuel efficient</w:t>
      </w:r>
      <w:r>
        <w:rPr>
          <w:spacing w:val="-4"/>
          <w:sz w:val="20"/>
        </w:rPr>
        <w:t> </w:t>
      </w:r>
      <w:r>
        <w:rPr>
          <w:sz w:val="20"/>
        </w:rPr>
        <w:t>car</w:t>
      </w:r>
      <w:r>
        <w:rPr>
          <w:spacing w:val="-2"/>
          <w:sz w:val="20"/>
        </w:rPr>
        <w:t> </w:t>
      </w:r>
      <w:r>
        <w:rPr>
          <w:sz w:val="20"/>
        </w:rPr>
        <w:t>limit</w:t>
        <w:tab/>
        <w:t>$75,526 (no change from</w:t>
      </w:r>
      <w:r>
        <w:rPr>
          <w:spacing w:val="1"/>
          <w:sz w:val="20"/>
        </w:rPr>
        <w:t> </w:t>
      </w:r>
      <w:r>
        <w:rPr>
          <w:sz w:val="20"/>
        </w:rPr>
        <w:t>2017-18)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66" w:lineRule="auto" w:before="1"/>
        <w:ind w:left="112" w:right="92"/>
      </w:pPr>
      <w:r>
        <w:rPr/>
        <w:t>The increased LCT threshold and the fuel efficient car limit advised in this Notice supersede those advised in the Department of Immigration and Border Protection Notice No. 2017/15.</w:t>
      </w:r>
    </w:p>
    <w:p>
      <w:pPr>
        <w:pStyle w:val="BodyText"/>
        <w:spacing w:before="5"/>
      </w:pPr>
    </w:p>
    <w:p>
      <w:pPr>
        <w:pStyle w:val="BodyText"/>
        <w:spacing w:line="513" w:lineRule="auto"/>
        <w:ind w:left="112" w:right="2238"/>
      </w:pPr>
      <w:r>
        <w:rPr/>
        <w:t>The Integrated Cargo System will be amended to reflect the LCT threshold increase. Further information on LCT and fuel efficient cars can be found via: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  <w:tab w:pos="473" w:val="left" w:leader="none"/>
        </w:tabs>
        <w:spacing w:line="240" w:lineRule="auto" w:before="17" w:after="0"/>
        <w:ind w:left="472" w:right="0" w:hanging="361"/>
        <w:jc w:val="left"/>
        <w:rPr>
          <w:sz w:val="20"/>
        </w:rPr>
      </w:pPr>
      <w:r>
        <w:rPr>
          <w:sz w:val="20"/>
        </w:rPr>
        <w:t>Australian Taxation Office - </w:t>
      </w:r>
      <w:hyperlink r:id="rId6">
        <w:r>
          <w:rPr>
            <w:sz w:val="20"/>
            <w:u w:val="single"/>
          </w:rPr>
          <w:t>Luxury car tax rate and</w:t>
        </w:r>
        <w:r>
          <w:rPr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thresholds</w:t>
        </w:r>
      </w:hyperlink>
    </w:p>
    <w:p>
      <w:pPr>
        <w:pStyle w:val="ListParagraph"/>
        <w:numPr>
          <w:ilvl w:val="0"/>
          <w:numId w:val="2"/>
        </w:numPr>
        <w:tabs>
          <w:tab w:pos="472" w:val="left" w:leader="none"/>
          <w:tab w:pos="473" w:val="left" w:leader="none"/>
        </w:tabs>
        <w:spacing w:line="240" w:lineRule="auto" w:before="156" w:after="0"/>
        <w:ind w:left="472" w:right="0" w:hanging="361"/>
        <w:jc w:val="left"/>
        <w:rPr>
          <w:sz w:val="20"/>
        </w:rPr>
      </w:pPr>
      <w:r>
        <w:rPr>
          <w:sz w:val="20"/>
        </w:rPr>
        <w:t>Department of Home Affairs - </w:t>
      </w:r>
      <w:hyperlink r:id="rId7">
        <w:r>
          <w:rPr>
            <w:sz w:val="20"/>
            <w:u w:val="single"/>
          </w:rPr>
          <w:t>Luxury car tax</w:t>
        </w:r>
        <w:r>
          <w:rPr>
            <w:spacing w:val="-5"/>
            <w:sz w:val="20"/>
            <w:u w:val="single"/>
          </w:rPr>
          <w:t> </w:t>
        </w:r>
        <w:r>
          <w:rPr>
            <w:sz w:val="20"/>
            <w:u w:val="single"/>
          </w:rPr>
          <w:t>exemptions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70" w:lineRule="atLeast" w:before="115"/>
        <w:ind w:left="112" w:right="8318"/>
      </w:pPr>
      <w:r>
        <w:rPr/>
        <w:t>[signed] Andrew</w:t>
      </w:r>
      <w:r>
        <w:rPr>
          <w:spacing w:val="-10"/>
        </w:rPr>
        <w:t> </w:t>
      </w:r>
      <w:r>
        <w:rPr/>
        <w:t>Tankey</w:t>
      </w:r>
    </w:p>
    <w:p>
      <w:pPr>
        <w:pStyle w:val="BodyText"/>
        <w:spacing w:before="24"/>
        <w:ind w:left="112"/>
      </w:pPr>
      <w:r>
        <w:rPr/>
        <w:t>A/g Assistant Secretary</w:t>
      </w:r>
    </w:p>
    <w:p>
      <w:pPr>
        <w:pStyle w:val="BodyText"/>
        <w:spacing w:line="264" w:lineRule="auto" w:before="25"/>
        <w:ind w:left="112" w:right="6318"/>
      </w:pPr>
      <w:r>
        <w:rPr/>
        <w:t>Customs and Border Revenue Branch 31 May 2018</w:t>
      </w:r>
    </w:p>
    <w:sectPr>
      <w:type w:val="continuous"/>
      <w:pgSz w:w="11910" w:h="16840"/>
      <w:pgMar w:top="0" w:bottom="280" w:left="10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7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1414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2349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3283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515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6087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7022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7957" w:hanging="360"/>
      </w:pPr>
      <w:rPr>
        <w:rFonts w:hint="default"/>
        <w:lang w:val="en-a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3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2637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3535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4434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6231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7130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8029" w:hanging="360"/>
      </w:pPr>
      <w:rPr>
        <w:rFonts w:hint="default"/>
        <w:lang w:val="en-a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3501" w:right="559" w:hanging="2890"/>
    </w:pPr>
    <w:rPr>
      <w:rFonts w:ascii="Arial" w:hAnsi="Arial" w:eastAsia="Arial" w:cs="Arial"/>
      <w:b/>
      <w:bCs/>
      <w:sz w:val="52"/>
      <w:szCs w:val="52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ind w:left="472" w:hanging="361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ato.gov.au/rates/luxury-car-tax-rate-and-thresholds/" TargetMode="External"/><Relationship Id="rId7" Type="http://schemas.openxmlformats.org/officeDocument/2006/relationships/hyperlink" Target="https://www.homeaffairs.gov.au/busi/duty/indi/brokers/luxury-car-tax-exemptions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Home Affairs</dc:creator>
  <cp:keywords>luxury car tax, fuel efficient car limit</cp:keywords>
  <dc:subject>Luxury car tax threshold and fuel efficient car limit 2018-19</dc:subject>
  <dc:title>Department of Home Affairs Notice 2018/18</dc:title>
  <dcterms:created xsi:type="dcterms:W3CDTF">2020-12-09T22:17:52Z</dcterms:created>
  <dcterms:modified xsi:type="dcterms:W3CDTF">2020-12-09T22:17:52Z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2018-05-31T00:00:00Z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