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7"/>
        <w:rPr>
          <w:rFonts w:ascii="Times New Roman"/>
          <w:sz w:val="16"/>
        </w:rPr>
      </w:pPr>
    </w:p>
    <w:p>
      <w:pPr>
        <w:pStyle w:val="Title"/>
        <w:ind w:right="2092"/>
      </w:pPr>
      <w:r>
        <w:rPr/>
        <w:drawing>
          <wp:anchor distT="0" distB="0" distL="0" distR="0" allowOverlap="1" layoutInCell="1" locked="0" behindDoc="0" simplePos="0" relativeHeight="15729664">
            <wp:simplePos x="0" y="0"/>
            <wp:positionH relativeFrom="page">
              <wp:posOffset>0</wp:posOffset>
            </wp:positionH>
            <wp:positionV relativeFrom="paragraph">
              <wp:posOffset>-1578332</wp:posOffset>
            </wp:positionV>
            <wp:extent cx="7559675" cy="1481454"/>
            <wp:effectExtent l="0" t="0" r="0" b="0"/>
            <wp:wrapNone/>
            <wp:docPr id="1" name="image1.jpeg" descr="Australian Government Department of Home Affairs logo."/>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675" cy="1481454"/>
                    </a:xfrm>
                    <a:prstGeom prst="rect">
                      <a:avLst/>
                    </a:prstGeom>
                  </pic:spPr>
                </pic:pic>
              </a:graphicData>
            </a:graphic>
          </wp:anchor>
        </w:drawing>
      </w:r>
      <w:r>
        <w:rPr>
          <w:color w:val="0D0D0D"/>
        </w:rPr>
        <w:t>DEPARTMENT OF HOME AFFAIRS NOTICE</w:t>
      </w:r>
    </w:p>
    <w:p>
      <w:pPr>
        <w:pStyle w:val="Title"/>
        <w:spacing w:before="202"/>
        <w:ind w:left="2092"/>
      </w:pPr>
      <w:r>
        <w:rPr/>
        <w:pict>
          <v:rect style="position:absolute;margin-left:55.919998pt;margin-top:30.311853pt;width:506.16pt;height:.48pt;mso-position-horizontal-relative:page;mso-position-vertical-relative:paragraph;z-index:-15728640;mso-wrap-distance-left:0;mso-wrap-distance-right:0" filled="true" fillcolor="#4f81bc" stroked="false">
            <v:fill type="solid"/>
            <w10:wrap type="topAndBottom"/>
          </v:rect>
        </w:pict>
      </w:r>
      <w:r>
        <w:rPr>
          <w:color w:val="0D0D0D"/>
        </w:rPr>
        <w:t>No. 2018/19</w:t>
      </w:r>
    </w:p>
    <w:p>
      <w:pPr>
        <w:pStyle w:val="BodyText"/>
        <w:spacing w:before="7"/>
        <w:rPr>
          <w:b/>
          <w:sz w:val="13"/>
        </w:rPr>
      </w:pPr>
    </w:p>
    <w:p>
      <w:pPr>
        <w:spacing w:before="91"/>
        <w:ind w:left="2089" w:right="2092" w:firstLine="0"/>
        <w:jc w:val="center"/>
        <w:rPr>
          <w:b/>
          <w:sz w:val="26"/>
        </w:rPr>
      </w:pPr>
      <w:r>
        <w:rPr>
          <w:b/>
          <w:color w:val="0D0D0D"/>
          <w:sz w:val="26"/>
        </w:rPr>
        <w:t>Applications for Customs Broker Licence</w:t>
      </w:r>
    </w:p>
    <w:p>
      <w:pPr>
        <w:pStyle w:val="BodyText"/>
        <w:spacing w:before="7"/>
        <w:rPr>
          <w:b/>
          <w:sz w:val="24"/>
        </w:rPr>
      </w:pPr>
    </w:p>
    <w:p>
      <w:pPr>
        <w:pStyle w:val="BodyText"/>
        <w:ind w:left="720" w:right="1031"/>
      </w:pPr>
      <w:r>
        <w:rPr>
          <w:color w:val="0D0D0D"/>
        </w:rPr>
        <w:t>The following individuals and companies have applied to the Comptroller-General of Customs for a customs broker licence.</w:t>
      </w:r>
    </w:p>
    <w:p>
      <w:pPr>
        <w:pStyle w:val="BodyText"/>
        <w:rPr>
          <w:sz w:val="22"/>
        </w:rPr>
      </w:pP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58"/>
        <w:gridCol w:w="3401"/>
        <w:gridCol w:w="3702"/>
      </w:tblGrid>
      <w:tr>
        <w:trPr>
          <w:trHeight w:val="230" w:hRule="atLeast"/>
        </w:trPr>
        <w:tc>
          <w:tcPr>
            <w:tcW w:w="3258" w:type="dxa"/>
          </w:tcPr>
          <w:p>
            <w:pPr>
              <w:pStyle w:val="TableParagraph"/>
              <w:spacing w:line="210" w:lineRule="exact"/>
              <w:ind w:left="107"/>
              <w:rPr>
                <w:b/>
                <w:sz w:val="20"/>
              </w:rPr>
            </w:pPr>
            <w:r>
              <w:rPr>
                <w:b/>
                <w:color w:val="0D0D0D"/>
                <w:sz w:val="20"/>
                <w:u w:val="thick" w:color="0D0D0D"/>
              </w:rPr>
              <w:t>COMPANY</w:t>
            </w:r>
          </w:p>
        </w:tc>
        <w:tc>
          <w:tcPr>
            <w:tcW w:w="3401" w:type="dxa"/>
          </w:tcPr>
          <w:p>
            <w:pPr>
              <w:pStyle w:val="TableParagraph"/>
              <w:spacing w:line="210" w:lineRule="exact"/>
              <w:ind w:left="107"/>
              <w:rPr>
                <w:b/>
                <w:sz w:val="20"/>
              </w:rPr>
            </w:pPr>
            <w:r>
              <w:rPr>
                <w:b/>
                <w:color w:val="0D0D0D"/>
                <w:sz w:val="20"/>
                <w:u w:val="thick" w:color="0D0D0D"/>
              </w:rPr>
              <w:t>COMPANY</w:t>
            </w:r>
          </w:p>
        </w:tc>
        <w:tc>
          <w:tcPr>
            <w:tcW w:w="3702" w:type="dxa"/>
          </w:tcPr>
          <w:p>
            <w:pPr>
              <w:pStyle w:val="TableParagraph"/>
              <w:spacing w:line="210" w:lineRule="exact"/>
              <w:ind w:left="107"/>
              <w:rPr>
                <w:b/>
                <w:sz w:val="20"/>
              </w:rPr>
            </w:pPr>
            <w:r>
              <w:rPr>
                <w:b/>
                <w:color w:val="0D0D0D"/>
                <w:sz w:val="20"/>
                <w:u w:val="thick" w:color="0D0D0D"/>
              </w:rPr>
              <w:t>INDIVIDUALS</w:t>
            </w:r>
          </w:p>
        </w:tc>
      </w:tr>
      <w:tr>
        <w:trPr>
          <w:trHeight w:val="230" w:hRule="atLeast"/>
        </w:trPr>
        <w:tc>
          <w:tcPr>
            <w:tcW w:w="3258" w:type="dxa"/>
            <w:vMerge w:val="restart"/>
          </w:tcPr>
          <w:p>
            <w:pPr>
              <w:pStyle w:val="TableParagraph"/>
              <w:spacing w:line="230" w:lineRule="exact" w:before="3"/>
              <w:ind w:left="107"/>
              <w:rPr>
                <w:sz w:val="20"/>
              </w:rPr>
            </w:pPr>
            <w:r>
              <w:rPr>
                <w:color w:val="0D0D0D"/>
                <w:sz w:val="20"/>
              </w:rPr>
              <w:t>Kangaroo Customs and Freight Forwarding Pty. Ltd.</w:t>
            </w:r>
          </w:p>
        </w:tc>
        <w:tc>
          <w:tcPr>
            <w:tcW w:w="3401" w:type="dxa"/>
            <w:vMerge w:val="restart"/>
          </w:tcPr>
          <w:p>
            <w:pPr>
              <w:pStyle w:val="TableParagraph"/>
              <w:spacing w:line="230" w:lineRule="exact" w:before="3"/>
              <w:ind w:left="107" w:right="596"/>
              <w:rPr>
                <w:sz w:val="20"/>
              </w:rPr>
            </w:pPr>
            <w:r>
              <w:rPr>
                <w:color w:val="0D0D0D"/>
                <w:sz w:val="20"/>
              </w:rPr>
              <w:t>Export Consolidation Services Pty. Ltd.</w:t>
            </w:r>
          </w:p>
        </w:tc>
        <w:tc>
          <w:tcPr>
            <w:tcW w:w="3702" w:type="dxa"/>
          </w:tcPr>
          <w:p>
            <w:pPr>
              <w:pStyle w:val="TableParagraph"/>
              <w:spacing w:line="211" w:lineRule="exact"/>
              <w:ind w:left="107"/>
              <w:rPr>
                <w:sz w:val="20"/>
              </w:rPr>
            </w:pPr>
            <w:r>
              <w:rPr>
                <w:color w:val="0D0D0D"/>
                <w:sz w:val="20"/>
              </w:rPr>
              <w:t>Gaurav Bhatt</w:t>
            </w:r>
          </w:p>
        </w:tc>
      </w:tr>
      <w:tr>
        <w:trPr>
          <w:trHeight w:val="230" w:hRule="atLeast"/>
        </w:trPr>
        <w:tc>
          <w:tcPr>
            <w:tcW w:w="3258" w:type="dxa"/>
            <w:vMerge/>
            <w:tcBorders>
              <w:top w:val="nil"/>
            </w:tcBorders>
          </w:tcPr>
          <w:p>
            <w:pPr>
              <w:rPr>
                <w:sz w:val="2"/>
                <w:szCs w:val="2"/>
              </w:rPr>
            </w:pPr>
          </w:p>
        </w:tc>
        <w:tc>
          <w:tcPr>
            <w:tcW w:w="3401" w:type="dxa"/>
            <w:vMerge/>
            <w:tcBorders>
              <w:top w:val="nil"/>
            </w:tcBorders>
          </w:tcPr>
          <w:p>
            <w:pPr>
              <w:rPr>
                <w:sz w:val="2"/>
                <w:szCs w:val="2"/>
              </w:rPr>
            </w:pPr>
          </w:p>
        </w:tc>
        <w:tc>
          <w:tcPr>
            <w:tcW w:w="3702" w:type="dxa"/>
          </w:tcPr>
          <w:p>
            <w:pPr>
              <w:pStyle w:val="TableParagraph"/>
              <w:spacing w:line="210" w:lineRule="exact"/>
              <w:ind w:left="107"/>
              <w:rPr>
                <w:sz w:val="20"/>
              </w:rPr>
            </w:pPr>
            <w:r>
              <w:rPr>
                <w:color w:val="0D0D0D"/>
                <w:sz w:val="20"/>
              </w:rPr>
              <w:t>Alison Paddy</w:t>
            </w:r>
          </w:p>
        </w:tc>
      </w:tr>
      <w:tr>
        <w:trPr>
          <w:trHeight w:val="230" w:hRule="atLeast"/>
        </w:trPr>
        <w:tc>
          <w:tcPr>
            <w:tcW w:w="3258" w:type="dxa"/>
          </w:tcPr>
          <w:p>
            <w:pPr>
              <w:pStyle w:val="TableParagraph"/>
              <w:rPr>
                <w:rFonts w:ascii="Times New Roman"/>
                <w:sz w:val="16"/>
              </w:rPr>
            </w:pPr>
          </w:p>
        </w:tc>
        <w:tc>
          <w:tcPr>
            <w:tcW w:w="3401" w:type="dxa"/>
          </w:tcPr>
          <w:p>
            <w:pPr>
              <w:pStyle w:val="TableParagraph"/>
              <w:rPr>
                <w:rFonts w:ascii="Times New Roman"/>
                <w:sz w:val="16"/>
              </w:rPr>
            </w:pPr>
          </w:p>
        </w:tc>
        <w:tc>
          <w:tcPr>
            <w:tcW w:w="3702" w:type="dxa"/>
          </w:tcPr>
          <w:p>
            <w:pPr>
              <w:pStyle w:val="TableParagraph"/>
              <w:spacing w:line="210" w:lineRule="exact"/>
              <w:ind w:left="107"/>
              <w:rPr>
                <w:sz w:val="20"/>
              </w:rPr>
            </w:pPr>
            <w:r>
              <w:rPr>
                <w:color w:val="0D0D0D"/>
                <w:sz w:val="20"/>
              </w:rPr>
              <w:t>Le Chen</w:t>
            </w:r>
          </w:p>
        </w:tc>
      </w:tr>
      <w:tr>
        <w:trPr>
          <w:trHeight w:val="230" w:hRule="atLeast"/>
        </w:trPr>
        <w:tc>
          <w:tcPr>
            <w:tcW w:w="3258" w:type="dxa"/>
          </w:tcPr>
          <w:p>
            <w:pPr>
              <w:pStyle w:val="TableParagraph"/>
              <w:spacing w:line="210" w:lineRule="exact"/>
              <w:ind w:left="107"/>
              <w:rPr>
                <w:sz w:val="20"/>
              </w:rPr>
            </w:pPr>
            <w:r>
              <w:rPr>
                <w:color w:val="0D0D0D"/>
                <w:sz w:val="20"/>
              </w:rPr>
              <w:t>ABN 82 624 445 334</w:t>
            </w:r>
          </w:p>
        </w:tc>
        <w:tc>
          <w:tcPr>
            <w:tcW w:w="3401" w:type="dxa"/>
          </w:tcPr>
          <w:p>
            <w:pPr>
              <w:pStyle w:val="TableParagraph"/>
              <w:spacing w:line="210" w:lineRule="exact"/>
              <w:ind w:left="107"/>
              <w:rPr>
                <w:sz w:val="20"/>
              </w:rPr>
            </w:pPr>
            <w:r>
              <w:rPr>
                <w:color w:val="0D0D0D"/>
                <w:sz w:val="20"/>
              </w:rPr>
              <w:t>45 007 444 288</w:t>
            </w:r>
          </w:p>
        </w:tc>
        <w:tc>
          <w:tcPr>
            <w:tcW w:w="3702" w:type="dxa"/>
          </w:tcPr>
          <w:p>
            <w:pPr>
              <w:pStyle w:val="TableParagraph"/>
              <w:spacing w:line="210" w:lineRule="exact"/>
              <w:ind w:left="107"/>
              <w:rPr>
                <w:sz w:val="20"/>
              </w:rPr>
            </w:pPr>
            <w:r>
              <w:rPr>
                <w:color w:val="0D0D0D"/>
                <w:sz w:val="20"/>
              </w:rPr>
              <w:t>Xinfang Zhang</w:t>
            </w:r>
          </w:p>
        </w:tc>
      </w:tr>
      <w:tr>
        <w:trPr>
          <w:trHeight w:val="230" w:hRule="atLeast"/>
        </w:trPr>
        <w:tc>
          <w:tcPr>
            <w:tcW w:w="3258" w:type="dxa"/>
          </w:tcPr>
          <w:p>
            <w:pPr>
              <w:pStyle w:val="TableParagraph"/>
              <w:rPr>
                <w:rFonts w:ascii="Times New Roman"/>
                <w:sz w:val="16"/>
              </w:rPr>
            </w:pPr>
          </w:p>
        </w:tc>
        <w:tc>
          <w:tcPr>
            <w:tcW w:w="3401" w:type="dxa"/>
          </w:tcPr>
          <w:p>
            <w:pPr>
              <w:pStyle w:val="TableParagraph"/>
              <w:rPr>
                <w:rFonts w:ascii="Times New Roman"/>
                <w:sz w:val="16"/>
              </w:rPr>
            </w:pPr>
          </w:p>
        </w:tc>
        <w:tc>
          <w:tcPr>
            <w:tcW w:w="3702" w:type="dxa"/>
          </w:tcPr>
          <w:p>
            <w:pPr>
              <w:pStyle w:val="TableParagraph"/>
              <w:rPr>
                <w:rFonts w:ascii="Times New Roman"/>
                <w:sz w:val="16"/>
              </w:rPr>
            </w:pPr>
          </w:p>
        </w:tc>
      </w:tr>
      <w:tr>
        <w:trPr>
          <w:trHeight w:val="229" w:hRule="atLeast"/>
        </w:trPr>
        <w:tc>
          <w:tcPr>
            <w:tcW w:w="3258" w:type="dxa"/>
          </w:tcPr>
          <w:p>
            <w:pPr>
              <w:pStyle w:val="TableParagraph"/>
              <w:spacing w:line="210" w:lineRule="exact"/>
              <w:ind w:left="107"/>
              <w:rPr>
                <w:sz w:val="20"/>
              </w:rPr>
            </w:pPr>
            <w:r>
              <w:rPr>
                <w:color w:val="0D0D0D"/>
                <w:sz w:val="20"/>
              </w:rPr>
              <w:t>11 Athol Street</w:t>
            </w:r>
          </w:p>
        </w:tc>
        <w:tc>
          <w:tcPr>
            <w:tcW w:w="3401" w:type="dxa"/>
          </w:tcPr>
          <w:p>
            <w:pPr>
              <w:pStyle w:val="TableParagraph"/>
              <w:spacing w:line="210" w:lineRule="exact"/>
              <w:ind w:left="107"/>
              <w:rPr>
                <w:sz w:val="20"/>
              </w:rPr>
            </w:pPr>
            <w:r>
              <w:rPr>
                <w:color w:val="0D0D0D"/>
                <w:sz w:val="20"/>
              </w:rPr>
              <w:t>47 McGregors Drive</w:t>
            </w:r>
          </w:p>
        </w:tc>
        <w:tc>
          <w:tcPr>
            <w:tcW w:w="3702" w:type="dxa"/>
          </w:tcPr>
          <w:p>
            <w:pPr>
              <w:pStyle w:val="TableParagraph"/>
              <w:rPr>
                <w:rFonts w:ascii="Times New Roman"/>
                <w:sz w:val="16"/>
              </w:rPr>
            </w:pPr>
          </w:p>
        </w:tc>
      </w:tr>
      <w:tr>
        <w:trPr>
          <w:trHeight w:val="230" w:hRule="atLeast"/>
        </w:trPr>
        <w:tc>
          <w:tcPr>
            <w:tcW w:w="3258" w:type="dxa"/>
          </w:tcPr>
          <w:p>
            <w:pPr>
              <w:pStyle w:val="TableParagraph"/>
              <w:spacing w:line="210" w:lineRule="exact"/>
              <w:ind w:left="107"/>
              <w:rPr>
                <w:sz w:val="20"/>
              </w:rPr>
            </w:pPr>
            <w:r>
              <w:rPr>
                <w:color w:val="0D0D0D"/>
                <w:sz w:val="20"/>
              </w:rPr>
              <w:t>Woonona NSW 2517</w:t>
            </w:r>
          </w:p>
        </w:tc>
        <w:tc>
          <w:tcPr>
            <w:tcW w:w="3401" w:type="dxa"/>
          </w:tcPr>
          <w:p>
            <w:pPr>
              <w:pStyle w:val="TableParagraph"/>
              <w:spacing w:line="210" w:lineRule="exact"/>
              <w:ind w:left="107"/>
              <w:rPr>
                <w:sz w:val="20"/>
              </w:rPr>
            </w:pPr>
            <w:r>
              <w:rPr>
                <w:color w:val="0D0D0D"/>
                <w:sz w:val="20"/>
              </w:rPr>
              <w:t>Keilor Park VIC 3042</w:t>
            </w:r>
          </w:p>
        </w:tc>
        <w:tc>
          <w:tcPr>
            <w:tcW w:w="3702" w:type="dxa"/>
          </w:tcPr>
          <w:p>
            <w:pPr>
              <w:pStyle w:val="TableParagraph"/>
              <w:rPr>
                <w:rFonts w:ascii="Times New Roman"/>
                <w:sz w:val="16"/>
              </w:rPr>
            </w:pPr>
          </w:p>
        </w:tc>
      </w:tr>
      <w:tr>
        <w:trPr>
          <w:trHeight w:val="230" w:hRule="atLeast"/>
        </w:trPr>
        <w:tc>
          <w:tcPr>
            <w:tcW w:w="3258" w:type="dxa"/>
          </w:tcPr>
          <w:p>
            <w:pPr>
              <w:pStyle w:val="TableParagraph"/>
              <w:rPr>
                <w:rFonts w:ascii="Times New Roman"/>
                <w:sz w:val="16"/>
              </w:rPr>
            </w:pPr>
          </w:p>
        </w:tc>
        <w:tc>
          <w:tcPr>
            <w:tcW w:w="3401" w:type="dxa"/>
          </w:tcPr>
          <w:p>
            <w:pPr>
              <w:pStyle w:val="TableParagraph"/>
              <w:rPr>
                <w:rFonts w:ascii="Times New Roman"/>
                <w:sz w:val="16"/>
              </w:rPr>
            </w:pPr>
          </w:p>
        </w:tc>
        <w:tc>
          <w:tcPr>
            <w:tcW w:w="3702" w:type="dxa"/>
          </w:tcPr>
          <w:p>
            <w:pPr>
              <w:pStyle w:val="TableParagraph"/>
              <w:rPr>
                <w:rFonts w:ascii="Times New Roman"/>
                <w:sz w:val="16"/>
              </w:rPr>
            </w:pPr>
          </w:p>
        </w:tc>
      </w:tr>
      <w:tr>
        <w:trPr>
          <w:trHeight w:val="230" w:hRule="atLeast"/>
        </w:trPr>
        <w:tc>
          <w:tcPr>
            <w:tcW w:w="3258" w:type="dxa"/>
          </w:tcPr>
          <w:p>
            <w:pPr>
              <w:pStyle w:val="TableParagraph"/>
              <w:spacing w:line="210" w:lineRule="exact"/>
              <w:ind w:left="107"/>
              <w:rPr>
                <w:b/>
                <w:sz w:val="20"/>
              </w:rPr>
            </w:pPr>
            <w:r>
              <w:rPr>
                <w:b/>
                <w:color w:val="0D0D0D"/>
                <w:sz w:val="20"/>
                <w:u w:val="thick" w:color="0D0D0D"/>
              </w:rPr>
              <w:t>Person in Authority</w:t>
            </w:r>
          </w:p>
        </w:tc>
        <w:tc>
          <w:tcPr>
            <w:tcW w:w="3401" w:type="dxa"/>
          </w:tcPr>
          <w:p>
            <w:pPr>
              <w:pStyle w:val="TableParagraph"/>
              <w:spacing w:line="210" w:lineRule="exact"/>
              <w:ind w:left="107"/>
              <w:rPr>
                <w:b/>
                <w:sz w:val="20"/>
              </w:rPr>
            </w:pPr>
            <w:r>
              <w:rPr>
                <w:b/>
                <w:color w:val="0D0D0D"/>
                <w:sz w:val="20"/>
                <w:u w:val="thick" w:color="0D0D0D"/>
              </w:rPr>
              <w:t>Person in Authority</w:t>
            </w:r>
          </w:p>
        </w:tc>
        <w:tc>
          <w:tcPr>
            <w:tcW w:w="3702" w:type="dxa"/>
          </w:tcPr>
          <w:p>
            <w:pPr>
              <w:pStyle w:val="TableParagraph"/>
              <w:rPr>
                <w:rFonts w:ascii="Times New Roman"/>
                <w:sz w:val="16"/>
              </w:rPr>
            </w:pPr>
          </w:p>
        </w:tc>
      </w:tr>
      <w:tr>
        <w:trPr>
          <w:trHeight w:val="230" w:hRule="atLeast"/>
        </w:trPr>
        <w:tc>
          <w:tcPr>
            <w:tcW w:w="3258" w:type="dxa"/>
          </w:tcPr>
          <w:p>
            <w:pPr>
              <w:pStyle w:val="TableParagraph"/>
              <w:spacing w:line="210" w:lineRule="exact"/>
              <w:ind w:left="107"/>
              <w:rPr>
                <w:sz w:val="20"/>
              </w:rPr>
            </w:pPr>
            <w:r>
              <w:rPr>
                <w:color w:val="0D0D0D"/>
                <w:sz w:val="20"/>
              </w:rPr>
              <w:t>Jeffrey Cuthbert</w:t>
            </w:r>
          </w:p>
        </w:tc>
        <w:tc>
          <w:tcPr>
            <w:tcW w:w="3401" w:type="dxa"/>
          </w:tcPr>
          <w:p>
            <w:pPr>
              <w:pStyle w:val="TableParagraph"/>
              <w:spacing w:line="210" w:lineRule="exact"/>
              <w:ind w:left="107"/>
              <w:rPr>
                <w:sz w:val="20"/>
              </w:rPr>
            </w:pPr>
            <w:r>
              <w:rPr>
                <w:color w:val="0D0D0D"/>
                <w:sz w:val="20"/>
              </w:rPr>
              <w:t>James Allan Bieleny</w:t>
            </w:r>
          </w:p>
        </w:tc>
        <w:tc>
          <w:tcPr>
            <w:tcW w:w="3702" w:type="dxa"/>
          </w:tcPr>
          <w:p>
            <w:pPr>
              <w:pStyle w:val="TableParagraph"/>
              <w:rPr>
                <w:rFonts w:ascii="Times New Roman"/>
                <w:sz w:val="16"/>
              </w:rPr>
            </w:pPr>
          </w:p>
        </w:tc>
      </w:tr>
      <w:tr>
        <w:trPr>
          <w:trHeight w:val="230" w:hRule="atLeast"/>
        </w:trPr>
        <w:tc>
          <w:tcPr>
            <w:tcW w:w="3258" w:type="dxa"/>
          </w:tcPr>
          <w:p>
            <w:pPr>
              <w:pStyle w:val="TableParagraph"/>
              <w:rPr>
                <w:rFonts w:ascii="Times New Roman"/>
                <w:sz w:val="16"/>
              </w:rPr>
            </w:pPr>
          </w:p>
        </w:tc>
        <w:tc>
          <w:tcPr>
            <w:tcW w:w="3401" w:type="dxa"/>
          </w:tcPr>
          <w:p>
            <w:pPr>
              <w:pStyle w:val="TableParagraph"/>
              <w:spacing w:line="210" w:lineRule="exact"/>
              <w:ind w:left="107"/>
              <w:rPr>
                <w:sz w:val="20"/>
              </w:rPr>
            </w:pPr>
            <w:r>
              <w:rPr>
                <w:color w:val="0D0D0D"/>
                <w:sz w:val="20"/>
              </w:rPr>
              <w:t>Stephen John Bieleny</w:t>
            </w:r>
          </w:p>
        </w:tc>
        <w:tc>
          <w:tcPr>
            <w:tcW w:w="3702" w:type="dxa"/>
          </w:tcPr>
          <w:p>
            <w:pPr>
              <w:pStyle w:val="TableParagraph"/>
              <w:rPr>
                <w:rFonts w:ascii="Times New Roman"/>
                <w:sz w:val="16"/>
              </w:rPr>
            </w:pPr>
          </w:p>
        </w:tc>
      </w:tr>
      <w:tr>
        <w:trPr>
          <w:trHeight w:val="230" w:hRule="atLeast"/>
        </w:trPr>
        <w:tc>
          <w:tcPr>
            <w:tcW w:w="3258" w:type="dxa"/>
          </w:tcPr>
          <w:p>
            <w:pPr>
              <w:pStyle w:val="TableParagraph"/>
              <w:rPr>
                <w:rFonts w:ascii="Times New Roman"/>
                <w:sz w:val="16"/>
              </w:rPr>
            </w:pPr>
          </w:p>
        </w:tc>
        <w:tc>
          <w:tcPr>
            <w:tcW w:w="3401" w:type="dxa"/>
          </w:tcPr>
          <w:p>
            <w:pPr>
              <w:pStyle w:val="TableParagraph"/>
              <w:spacing w:line="210" w:lineRule="exact"/>
              <w:ind w:left="107"/>
              <w:rPr>
                <w:sz w:val="20"/>
              </w:rPr>
            </w:pPr>
            <w:r>
              <w:rPr>
                <w:color w:val="0D0D0D"/>
                <w:sz w:val="20"/>
              </w:rPr>
              <w:t>Nicole Andree Bieleny</w:t>
            </w:r>
          </w:p>
        </w:tc>
        <w:tc>
          <w:tcPr>
            <w:tcW w:w="3702" w:type="dxa"/>
          </w:tcPr>
          <w:p>
            <w:pPr>
              <w:pStyle w:val="TableParagraph"/>
              <w:rPr>
                <w:rFonts w:ascii="Times New Roman"/>
                <w:sz w:val="16"/>
              </w:rPr>
            </w:pPr>
          </w:p>
        </w:tc>
      </w:tr>
      <w:tr>
        <w:trPr>
          <w:trHeight w:val="230" w:hRule="atLeast"/>
        </w:trPr>
        <w:tc>
          <w:tcPr>
            <w:tcW w:w="3258" w:type="dxa"/>
          </w:tcPr>
          <w:p>
            <w:pPr>
              <w:pStyle w:val="TableParagraph"/>
              <w:rPr>
                <w:rFonts w:ascii="Times New Roman"/>
                <w:sz w:val="16"/>
              </w:rPr>
            </w:pPr>
          </w:p>
        </w:tc>
        <w:tc>
          <w:tcPr>
            <w:tcW w:w="3401" w:type="dxa"/>
          </w:tcPr>
          <w:p>
            <w:pPr>
              <w:pStyle w:val="TableParagraph"/>
              <w:rPr>
                <w:rFonts w:ascii="Times New Roman"/>
                <w:sz w:val="16"/>
              </w:rPr>
            </w:pPr>
          </w:p>
        </w:tc>
        <w:tc>
          <w:tcPr>
            <w:tcW w:w="3702" w:type="dxa"/>
          </w:tcPr>
          <w:p>
            <w:pPr>
              <w:pStyle w:val="TableParagraph"/>
              <w:rPr>
                <w:rFonts w:ascii="Times New Roman"/>
                <w:sz w:val="16"/>
              </w:rPr>
            </w:pPr>
          </w:p>
        </w:tc>
      </w:tr>
      <w:tr>
        <w:trPr>
          <w:trHeight w:val="230" w:hRule="atLeast"/>
        </w:trPr>
        <w:tc>
          <w:tcPr>
            <w:tcW w:w="3258" w:type="dxa"/>
          </w:tcPr>
          <w:p>
            <w:pPr>
              <w:pStyle w:val="TableParagraph"/>
              <w:spacing w:line="210" w:lineRule="exact"/>
              <w:ind w:left="107"/>
              <w:rPr>
                <w:b/>
                <w:sz w:val="20"/>
              </w:rPr>
            </w:pPr>
            <w:r>
              <w:rPr>
                <w:b/>
                <w:color w:val="0D0D0D"/>
                <w:sz w:val="20"/>
                <w:u w:val="thick" w:color="0D0D0D"/>
              </w:rPr>
              <w:t>Nominee Broker</w:t>
            </w:r>
          </w:p>
        </w:tc>
        <w:tc>
          <w:tcPr>
            <w:tcW w:w="3401" w:type="dxa"/>
          </w:tcPr>
          <w:p>
            <w:pPr>
              <w:pStyle w:val="TableParagraph"/>
              <w:spacing w:line="210" w:lineRule="exact"/>
              <w:ind w:left="107"/>
              <w:rPr>
                <w:b/>
                <w:sz w:val="20"/>
              </w:rPr>
            </w:pPr>
            <w:r>
              <w:rPr>
                <w:b/>
                <w:color w:val="0D0D0D"/>
                <w:sz w:val="20"/>
                <w:u w:val="thick" w:color="0D0D0D"/>
              </w:rPr>
              <w:t>Nominee Broker</w:t>
            </w:r>
          </w:p>
        </w:tc>
        <w:tc>
          <w:tcPr>
            <w:tcW w:w="3702" w:type="dxa"/>
          </w:tcPr>
          <w:p>
            <w:pPr>
              <w:pStyle w:val="TableParagraph"/>
              <w:rPr>
                <w:rFonts w:ascii="Times New Roman"/>
                <w:sz w:val="16"/>
              </w:rPr>
            </w:pPr>
          </w:p>
        </w:tc>
      </w:tr>
      <w:tr>
        <w:trPr>
          <w:trHeight w:val="230" w:hRule="atLeast"/>
        </w:trPr>
        <w:tc>
          <w:tcPr>
            <w:tcW w:w="3258" w:type="dxa"/>
          </w:tcPr>
          <w:p>
            <w:pPr>
              <w:pStyle w:val="TableParagraph"/>
              <w:spacing w:line="210" w:lineRule="exact"/>
              <w:ind w:left="107"/>
              <w:rPr>
                <w:sz w:val="20"/>
              </w:rPr>
            </w:pPr>
            <w:r>
              <w:rPr>
                <w:color w:val="0D0D0D"/>
                <w:sz w:val="20"/>
              </w:rPr>
              <w:t>Jeffrey Cuthbert</w:t>
            </w:r>
          </w:p>
        </w:tc>
        <w:tc>
          <w:tcPr>
            <w:tcW w:w="3401" w:type="dxa"/>
          </w:tcPr>
          <w:p>
            <w:pPr>
              <w:pStyle w:val="TableParagraph"/>
              <w:spacing w:line="210" w:lineRule="exact"/>
              <w:ind w:left="107"/>
              <w:rPr>
                <w:sz w:val="20"/>
              </w:rPr>
            </w:pPr>
            <w:r>
              <w:rPr>
                <w:color w:val="0D0D0D"/>
                <w:sz w:val="20"/>
              </w:rPr>
              <w:t>Shara Lesley Shanahan</w:t>
            </w:r>
          </w:p>
        </w:tc>
        <w:tc>
          <w:tcPr>
            <w:tcW w:w="3702" w:type="dxa"/>
          </w:tcPr>
          <w:p>
            <w:pPr>
              <w:pStyle w:val="TableParagraph"/>
              <w:rPr>
                <w:rFonts w:ascii="Times New Roman"/>
                <w:sz w:val="16"/>
              </w:rPr>
            </w:pPr>
          </w:p>
        </w:tc>
      </w:tr>
      <w:tr>
        <w:trPr>
          <w:trHeight w:val="230" w:hRule="atLeast"/>
        </w:trPr>
        <w:tc>
          <w:tcPr>
            <w:tcW w:w="3258" w:type="dxa"/>
          </w:tcPr>
          <w:p>
            <w:pPr>
              <w:pStyle w:val="TableParagraph"/>
              <w:rPr>
                <w:rFonts w:ascii="Times New Roman"/>
                <w:sz w:val="16"/>
              </w:rPr>
            </w:pPr>
          </w:p>
        </w:tc>
        <w:tc>
          <w:tcPr>
            <w:tcW w:w="3401" w:type="dxa"/>
          </w:tcPr>
          <w:p>
            <w:pPr>
              <w:pStyle w:val="TableParagraph"/>
              <w:rPr>
                <w:rFonts w:ascii="Times New Roman"/>
                <w:sz w:val="16"/>
              </w:rPr>
            </w:pPr>
          </w:p>
        </w:tc>
        <w:tc>
          <w:tcPr>
            <w:tcW w:w="3702" w:type="dxa"/>
          </w:tcPr>
          <w:p>
            <w:pPr>
              <w:pStyle w:val="TableParagraph"/>
              <w:rPr>
                <w:rFonts w:ascii="Times New Roman"/>
                <w:sz w:val="16"/>
              </w:rPr>
            </w:pPr>
          </w:p>
        </w:tc>
      </w:tr>
      <w:tr>
        <w:trPr>
          <w:trHeight w:val="230" w:hRule="atLeast"/>
        </w:trPr>
        <w:tc>
          <w:tcPr>
            <w:tcW w:w="3258" w:type="dxa"/>
          </w:tcPr>
          <w:p>
            <w:pPr>
              <w:pStyle w:val="TableParagraph"/>
              <w:rPr>
                <w:rFonts w:ascii="Times New Roman"/>
                <w:sz w:val="16"/>
              </w:rPr>
            </w:pPr>
          </w:p>
        </w:tc>
        <w:tc>
          <w:tcPr>
            <w:tcW w:w="3401" w:type="dxa"/>
          </w:tcPr>
          <w:p>
            <w:pPr>
              <w:pStyle w:val="TableParagraph"/>
              <w:rPr>
                <w:rFonts w:ascii="Times New Roman"/>
                <w:sz w:val="16"/>
              </w:rPr>
            </w:pPr>
          </w:p>
        </w:tc>
        <w:tc>
          <w:tcPr>
            <w:tcW w:w="3702" w:type="dxa"/>
          </w:tcPr>
          <w:p>
            <w:pPr>
              <w:pStyle w:val="TableParagraph"/>
              <w:rPr>
                <w:rFonts w:ascii="Times New Roman"/>
                <w:sz w:val="16"/>
              </w:rPr>
            </w:pPr>
          </w:p>
        </w:tc>
      </w:tr>
    </w:tbl>
    <w:p>
      <w:pPr>
        <w:pStyle w:val="BodyText"/>
        <w:rPr>
          <w:sz w:val="22"/>
        </w:rPr>
      </w:pPr>
    </w:p>
    <w:p>
      <w:pPr>
        <w:pStyle w:val="BodyText"/>
        <w:rPr>
          <w:sz w:val="22"/>
        </w:rPr>
      </w:pPr>
    </w:p>
    <w:p>
      <w:pPr>
        <w:pStyle w:val="BodyText"/>
        <w:ind w:left="720" w:right="1542"/>
      </w:pPr>
      <w:r>
        <w:rPr>
          <w:color w:val="0D0D0D"/>
        </w:rPr>
        <w:t>Any person wishing to make written representation in respect of any of these applications should address the correspondence, by 22 June 2018, to:</w:t>
      </w:r>
    </w:p>
    <w:p>
      <w:pPr>
        <w:pStyle w:val="BodyText"/>
        <w:spacing w:before="6"/>
      </w:pPr>
    </w:p>
    <w:tbl>
      <w:tblPr>
        <w:tblW w:w="0" w:type="auto"/>
        <w:jc w:val="left"/>
        <w:tblInd w:w="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32"/>
        <w:gridCol w:w="4756"/>
      </w:tblGrid>
      <w:tr>
        <w:trPr>
          <w:trHeight w:val="913" w:hRule="atLeast"/>
        </w:trPr>
        <w:tc>
          <w:tcPr>
            <w:tcW w:w="3832" w:type="dxa"/>
          </w:tcPr>
          <w:p>
            <w:pPr>
              <w:pStyle w:val="TableParagraph"/>
              <w:ind w:left="200" w:right="1133"/>
              <w:rPr>
                <w:sz w:val="20"/>
              </w:rPr>
            </w:pPr>
            <w:r>
              <w:rPr>
                <w:color w:val="0D0D0D"/>
                <w:sz w:val="20"/>
              </w:rPr>
              <w:t>Broker Licensing Department of Home Affairs 5 Constitution Avenue</w:t>
            </w:r>
          </w:p>
          <w:p>
            <w:pPr>
              <w:pStyle w:val="TableParagraph"/>
              <w:spacing w:line="210" w:lineRule="exact"/>
              <w:ind w:left="200"/>
              <w:rPr>
                <w:sz w:val="20"/>
              </w:rPr>
            </w:pPr>
            <w:r>
              <w:rPr>
                <w:color w:val="0D0D0D"/>
                <w:sz w:val="20"/>
              </w:rPr>
              <w:t>CANBERRA ACT 2601</w:t>
            </w:r>
          </w:p>
        </w:tc>
        <w:tc>
          <w:tcPr>
            <w:tcW w:w="4756" w:type="dxa"/>
          </w:tcPr>
          <w:p>
            <w:pPr>
              <w:pStyle w:val="TableParagraph"/>
              <w:spacing w:before="115"/>
              <w:ind w:left="1154"/>
              <w:rPr>
                <w:sz w:val="20"/>
              </w:rPr>
            </w:pPr>
            <w:r>
              <w:rPr>
                <w:color w:val="0D0D0D"/>
                <w:sz w:val="20"/>
              </w:rPr>
              <w:t>Or email: </w:t>
            </w:r>
            <w:hyperlink r:id="rId6">
              <w:r>
                <w:rPr>
                  <w:color w:val="0D0D0D"/>
                  <w:w w:val="95"/>
                  <w:sz w:val="20"/>
                  <w:u w:val="single" w:color="0D0D0D"/>
                </w:rPr>
                <w:t>brokers.licensing@homeaffairs.gov.au</w:t>
              </w:r>
            </w:hyperlink>
          </w:p>
        </w:tc>
      </w:tr>
    </w:tbl>
    <w:p>
      <w:pPr>
        <w:pStyle w:val="BodyText"/>
        <w:spacing w:before="3"/>
        <w:rPr>
          <w:sz w:val="21"/>
        </w:rPr>
      </w:pPr>
    </w:p>
    <w:p>
      <w:pPr>
        <w:pStyle w:val="BodyText"/>
        <w:spacing w:before="1"/>
        <w:ind w:left="719" w:right="749"/>
      </w:pPr>
      <w:r>
        <w:rPr>
          <w:color w:val="0D0D0D"/>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4"/>
        <w:rPr>
          <w:sz w:val="30"/>
        </w:rPr>
      </w:pPr>
    </w:p>
    <w:p>
      <w:pPr>
        <w:pStyle w:val="BodyText"/>
        <w:ind w:left="719"/>
      </w:pPr>
      <w:r>
        <w:rPr>
          <w:color w:val="0D0D0D"/>
        </w:rPr>
        <w:t>[signed]</w:t>
      </w:r>
    </w:p>
    <w:p>
      <w:pPr>
        <w:pStyle w:val="BodyText"/>
        <w:spacing w:line="430" w:lineRule="atLeast" w:before="31"/>
        <w:ind w:left="719" w:right="9397"/>
      </w:pPr>
      <w:r>
        <w:rPr>
          <w:color w:val="0D0D0D"/>
        </w:rPr>
        <w:t>Steve </w:t>
      </w:r>
      <w:r>
        <w:rPr>
          <w:color w:val="0D0D0D"/>
          <w:spacing w:val="-4"/>
        </w:rPr>
        <w:t>Moore </w:t>
      </w:r>
      <w:r>
        <w:rPr>
          <w:color w:val="0D0D0D"/>
        </w:rPr>
        <w:t>Director</w:t>
      </w:r>
    </w:p>
    <w:p>
      <w:pPr>
        <w:pStyle w:val="BodyText"/>
        <w:spacing w:line="229" w:lineRule="exact"/>
        <w:ind w:left="719"/>
      </w:pPr>
      <w:r>
        <w:rPr>
          <w:color w:val="0D0D0D"/>
        </w:rPr>
        <w:t>Customs Licensing Section</w:t>
      </w:r>
    </w:p>
    <w:p>
      <w:pPr>
        <w:pStyle w:val="BodyText"/>
        <w:ind w:left="719" w:right="6298"/>
      </w:pPr>
      <w:r>
        <w:rPr>
          <w:color w:val="0D0D0D"/>
        </w:rPr>
        <w:t>Trusted Trader and Trade Services Branch CANBERRA ACT</w:t>
      </w:r>
    </w:p>
    <w:p>
      <w:pPr>
        <w:pStyle w:val="BodyText"/>
      </w:pPr>
    </w:p>
    <w:p>
      <w:pPr>
        <w:pStyle w:val="BodyText"/>
        <w:spacing w:before="1"/>
        <w:ind w:left="719"/>
      </w:pPr>
      <w:r>
        <w:rPr>
          <w:color w:val="0D0D0D"/>
        </w:rPr>
        <w:t>8 June 2018</w:t>
      </w:r>
    </w:p>
    <w:p>
      <w:pPr>
        <w:pStyle w:val="BodyText"/>
      </w:pPr>
    </w:p>
    <w:p>
      <w:pPr>
        <w:pStyle w:val="BodyText"/>
      </w:pPr>
    </w:p>
    <w:p>
      <w:pPr>
        <w:pStyle w:val="BodyText"/>
        <w:spacing w:before="5"/>
        <w:rPr>
          <w:sz w:val="14"/>
        </w:rPr>
      </w:pPr>
      <w:r>
        <w:rPr/>
        <w:pict>
          <v:rect style="position:absolute;margin-left:56.664001pt;margin-top:10.258106pt;width:482.02pt;height:.48pt;mso-position-horizontal-relative:page;mso-position-vertical-relative:paragraph;z-index:-15728128;mso-wrap-distance-left:0;mso-wrap-distance-right:0" filled="true" fillcolor="#000000" stroked="false">
            <v:fill type="solid"/>
            <w10:wrap type="topAndBottom"/>
          </v:rect>
        </w:pict>
      </w:r>
    </w:p>
    <w:p>
      <w:pPr>
        <w:spacing w:before="130"/>
        <w:ind w:left="2091" w:right="2092" w:firstLine="0"/>
        <w:jc w:val="center"/>
        <w:rPr>
          <w:sz w:val="16"/>
        </w:rPr>
      </w:pPr>
      <w:r>
        <w:rPr>
          <w:sz w:val="16"/>
        </w:rPr>
        <w:t>6 Chan Street Belconnen ACT 2617</w:t>
      </w:r>
    </w:p>
    <w:p>
      <w:pPr>
        <w:spacing w:before="18"/>
        <w:ind w:left="2092" w:right="2092" w:firstLine="0"/>
        <w:jc w:val="center"/>
        <w:rPr>
          <w:sz w:val="16"/>
        </w:rPr>
      </w:pPr>
      <w:r>
        <w:rPr>
          <w:sz w:val="16"/>
        </w:rPr>
        <w:t>PO Box 25 Belconnen ACT 2616 • Telephone: 02 6264 1111 • Fax: 02 6225 6970 • </w:t>
      </w:r>
      <w:hyperlink r:id="rId7">
        <w:r>
          <w:rPr>
            <w:sz w:val="16"/>
          </w:rPr>
          <w:t>www.homeaffairs.gov.au</w:t>
        </w:r>
      </w:hyperlink>
    </w:p>
    <w:sectPr>
      <w:type w:val="continuous"/>
      <w:pgSz w:w="11910" w:h="16840"/>
      <w:pgMar w:top="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91"/>
      <w:ind w:left="2091" w:right="1639"/>
      <w:jc w:val="center"/>
    </w:pPr>
    <w:rPr>
      <w:rFonts w:ascii="Arial" w:hAnsi="Arial" w:eastAsia="Arial" w:cs="Arial"/>
      <w:b/>
      <w:bCs/>
      <w:sz w:val="28"/>
      <w:szCs w:val="28"/>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homeaffairs.gov.au" TargetMode="External"/><Relationship Id="rId7" Type="http://schemas.openxmlformats.org/officeDocument/2006/relationships/hyperlink" Target="http://www.homeaffair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Home Afffairs</dc:creator>
  <dc:subject>HA Notice 2018/19</dc:subject>
  <dc:title>Applications for Customs Broker Licence</dc:title>
  <dcterms:created xsi:type="dcterms:W3CDTF">2020-12-09T22:20:24Z</dcterms:created>
  <dcterms:modified xsi:type="dcterms:W3CDTF">2020-12-09T22:20:24Z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2018-06-04T00:00:00Z</vt:filetime>
  </property>
  <property fmtid="{D5CDD505-2E9C-101B-9397-08002B2CF9AE}" pid="3" name="Creator">
    <vt:lpwstr>Microsoft® Word 2016</vt:lpwstr>
  </property>
  <property fmtid="{D5CDD505-2E9C-101B-9397-08002B2CF9AE}" pid="4" name="LastSaved">
    <vt:filetime>2020-12-09T00:00:00Z</vt:filetime>
  </property>
</Properties>
</file>