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0" w:right="-44" w:firstLine="0"/>
        <w:rPr>
          <w:sz w:val="20"/>
        </w:rPr>
      </w:pPr>
      <w:r>
        <w:rPr>
          <w:sz w:val="20"/>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sz w:val="28"/>
                      </w:rPr>
                    </w:pPr>
                  </w:p>
                  <w:p>
                    <w:pPr>
                      <w:spacing w:line="240" w:lineRule="auto" w:before="0"/>
                      <w:rPr>
                        <w:sz w:val="28"/>
                      </w:rPr>
                    </w:pPr>
                  </w:p>
                  <w:p>
                    <w:pPr>
                      <w:spacing w:line="240" w:lineRule="auto" w:before="9"/>
                      <w:rPr>
                        <w:sz w:val="24"/>
                      </w:rPr>
                    </w:pPr>
                  </w:p>
                  <w:p>
                    <w:pPr>
                      <w:spacing w:line="369" w:lineRule="auto" w:before="0"/>
                      <w:ind w:left="2155" w:right="6042" w:firstLine="0"/>
                      <w:jc w:val="left"/>
                      <w:rPr>
                        <w:b/>
                        <w:sz w:val="26"/>
                      </w:rPr>
                    </w:pPr>
                    <w:r>
                      <w:rPr>
                        <w:b/>
                        <w:color w:val="FFFFFF"/>
                        <w:spacing w:val="-9"/>
                        <w:sz w:val="26"/>
                      </w:rPr>
                      <w:t>Australian </w:t>
                    </w:r>
                    <w:r>
                      <w:rPr>
                        <w:b/>
                        <w:color w:val="FFFFFF"/>
                        <w:spacing w:val="-10"/>
                        <w:sz w:val="26"/>
                      </w:rPr>
                      <w:t>Government </w:t>
                    </w:r>
                    <w:r>
                      <w:rPr>
                        <w:b/>
                        <w:color w:val="FFFFFF"/>
                        <w:spacing w:val="-9"/>
                        <w:sz w:val="26"/>
                      </w:rPr>
                      <w:t>Department </w:t>
                    </w:r>
                    <w:r>
                      <w:rPr>
                        <w:b/>
                        <w:color w:val="FFFFFF"/>
                        <w:spacing w:val="-5"/>
                        <w:sz w:val="26"/>
                      </w:rPr>
                      <w:t>of </w:t>
                    </w:r>
                    <w:r>
                      <w:rPr>
                        <w:b/>
                        <w:color w:val="FFFFFF"/>
                        <w:spacing w:val="-9"/>
                        <w:sz w:val="26"/>
                      </w:rPr>
                      <w:t>Home Affairs</w:t>
                    </w:r>
                  </w:p>
                </w:txbxContent>
              </v:textbox>
              <w10:wrap type="none"/>
            </v:shape>
          </v:group>
        </w:pict>
      </w:r>
      <w:r>
        <w:rPr>
          <w:sz w:val="20"/>
        </w:rPr>
      </w:r>
    </w:p>
    <w:p>
      <w:pPr>
        <w:spacing w:line="240" w:lineRule="auto" w:before="0"/>
        <w:rPr>
          <w:sz w:val="20"/>
        </w:rPr>
      </w:pPr>
    </w:p>
    <w:p>
      <w:pPr>
        <w:spacing w:line="240" w:lineRule="auto" w:before="0"/>
        <w:rPr>
          <w:sz w:val="20"/>
        </w:rPr>
      </w:pPr>
    </w:p>
    <w:p>
      <w:pPr>
        <w:spacing w:line="240" w:lineRule="auto" w:before="8"/>
        <w:rPr>
          <w:sz w:val="19"/>
        </w:rPr>
      </w:pPr>
    </w:p>
    <w:p>
      <w:pPr>
        <w:pStyle w:val="Title"/>
        <w:spacing w:line="376" w:lineRule="auto"/>
      </w:pPr>
      <w:bookmarkStart w:name="DEPARTMENT OF HOME AFFAIRS NOTICE" w:id="1"/>
      <w:bookmarkEnd w:id="1"/>
      <w:r>
        <w:rPr>
          <w:b w:val="0"/>
        </w:rPr>
      </w:r>
      <w:r>
        <w:rPr>
          <w:color w:val="034EA2"/>
        </w:rPr>
        <w:t>DEPARTMENT OF HOME AFFAIRS NOTICE</w:t>
      </w:r>
      <w:bookmarkStart w:name="No. 2018/21" w:id="2"/>
      <w:bookmarkEnd w:id="2"/>
      <w:r>
        <w:rPr>
          <w:color w:val="034EA2"/>
        </w:rPr>
      </w:r>
      <w:r>
        <w:rPr>
          <w:color w:val="034EA2"/>
        </w:rPr>
        <w:t> No. 2018/21</w:t>
      </w:r>
    </w:p>
    <w:p>
      <w:pPr>
        <w:pStyle w:val="Heading1"/>
        <w:spacing w:line="264" w:lineRule="auto" w:before="121"/>
        <w:ind w:right="1297"/>
      </w:pPr>
      <w:bookmarkStart w:name="Concessional Item 56 – Clinical Trial Ki" w:id="3"/>
      <w:bookmarkEnd w:id="3"/>
      <w:r>
        <w:rPr>
          <w:b w:val="0"/>
        </w:rPr>
      </w:r>
      <w:r>
        <w:rPr/>
        <w:t>Concessional Item 56 – Clinical Trial Kits and Placebos used in Clinical Trials</w:t>
      </w:r>
    </w:p>
    <w:p>
      <w:pPr>
        <w:spacing w:line="264" w:lineRule="auto" w:before="241"/>
        <w:ind w:left="1132" w:right="1498" w:hanging="1"/>
        <w:jc w:val="left"/>
        <w:rPr>
          <w:rFonts w:ascii="Arial" w:hAnsi="Arial"/>
          <w:sz w:val="20"/>
        </w:rPr>
      </w:pPr>
      <w:r>
        <w:rPr>
          <w:rFonts w:ascii="Arial" w:hAnsi="Arial"/>
          <w:sz w:val="20"/>
        </w:rPr>
        <w:t>Customs Tariff Proposal (No. 2) 2018, tabled in Parliament on 31 May 2018, created a new concessional item, Item 56, which provides a ‘Free’ rate of customs duty for:</w:t>
      </w:r>
    </w:p>
    <w:p>
      <w:pPr>
        <w:pStyle w:val="ListParagraph"/>
        <w:numPr>
          <w:ilvl w:val="0"/>
          <w:numId w:val="1"/>
        </w:numPr>
        <w:tabs>
          <w:tab w:pos="1852" w:val="left" w:leader="none"/>
          <w:tab w:pos="1853" w:val="left" w:leader="none"/>
        </w:tabs>
        <w:spacing w:line="240" w:lineRule="auto" w:before="132" w:after="0"/>
        <w:ind w:left="1852" w:right="0" w:hanging="361"/>
        <w:jc w:val="left"/>
        <w:rPr>
          <w:sz w:val="20"/>
        </w:rPr>
      </w:pPr>
      <w:r>
        <w:rPr>
          <w:sz w:val="20"/>
        </w:rPr>
        <w:t>clinical trial kits that do not indicate whether the contents are medicaments and/or placebos;</w:t>
      </w:r>
      <w:r>
        <w:rPr>
          <w:spacing w:val="-20"/>
          <w:sz w:val="20"/>
        </w:rPr>
        <w:t> </w:t>
      </w:r>
      <w:r>
        <w:rPr>
          <w:sz w:val="20"/>
        </w:rPr>
        <w:t>and</w:t>
      </w:r>
    </w:p>
    <w:p>
      <w:pPr>
        <w:pStyle w:val="ListParagraph"/>
        <w:numPr>
          <w:ilvl w:val="0"/>
          <w:numId w:val="1"/>
        </w:numPr>
        <w:tabs>
          <w:tab w:pos="1852" w:val="left" w:leader="none"/>
          <w:tab w:pos="1853" w:val="left" w:leader="none"/>
        </w:tabs>
        <w:spacing w:line="388" w:lineRule="auto" w:before="157" w:after="0"/>
        <w:ind w:left="1132" w:right="6084" w:firstLine="360"/>
        <w:jc w:val="left"/>
        <w:rPr>
          <w:sz w:val="20"/>
        </w:rPr>
      </w:pPr>
      <w:r>
        <w:rPr>
          <w:sz w:val="20"/>
        </w:rPr>
        <w:t>placebos imported for use in a clinical trial. Concessional item 56 will commence on 1 July</w:t>
      </w:r>
      <w:r>
        <w:rPr>
          <w:spacing w:val="-22"/>
          <w:sz w:val="20"/>
        </w:rPr>
        <w:t> </w:t>
      </w:r>
      <w:r>
        <w:rPr>
          <w:sz w:val="20"/>
        </w:rPr>
        <w:t>2018.</w:t>
      </w:r>
    </w:p>
    <w:p>
      <w:pPr>
        <w:spacing w:line="264" w:lineRule="auto" w:before="1"/>
        <w:ind w:left="1132" w:right="1453" w:firstLine="0"/>
        <w:jc w:val="left"/>
        <w:rPr>
          <w:rFonts w:ascii="Arial"/>
          <w:sz w:val="20"/>
        </w:rPr>
      </w:pPr>
      <w:r>
        <w:rPr>
          <w:rFonts w:ascii="Arial"/>
          <w:sz w:val="20"/>
        </w:rPr>
        <w:t>In order to qualify for the concessional rate of customs duty provided by the item the clinical trial kits must satisfy the requirements prescribed by by-law.</w:t>
      </w:r>
    </w:p>
    <w:p>
      <w:pPr>
        <w:spacing w:line="264" w:lineRule="auto" w:before="120"/>
        <w:ind w:left="1132" w:right="1209" w:firstLine="0"/>
        <w:jc w:val="left"/>
        <w:rPr>
          <w:rFonts w:ascii="Arial"/>
          <w:sz w:val="20"/>
        </w:rPr>
      </w:pPr>
      <w:r>
        <w:rPr>
          <w:rFonts w:ascii="Arial"/>
          <w:sz w:val="20"/>
        </w:rPr>
        <w:t>Revised Tariff Working Pages, including the full text of Item 56 and Customs Tariff By-law No. 1800128, can be found at </w:t>
      </w:r>
      <w:r>
        <w:rPr>
          <w:rFonts w:ascii="Arial"/>
          <w:sz w:val="20"/>
          <w:u w:val="single"/>
        </w:rPr>
        <w:t>Attachment A</w:t>
      </w:r>
      <w:r>
        <w:rPr>
          <w:rFonts w:ascii="Arial"/>
          <w:sz w:val="20"/>
        </w:rPr>
        <w:t>.</w:t>
      </w:r>
    </w:p>
    <w:p>
      <w:pPr>
        <w:spacing w:before="118"/>
        <w:ind w:left="1132" w:right="0" w:firstLine="0"/>
        <w:jc w:val="left"/>
        <w:rPr>
          <w:rFonts w:ascii="Arial"/>
          <w:sz w:val="20"/>
        </w:rPr>
      </w:pPr>
      <w:r>
        <w:rPr>
          <w:rFonts w:ascii="Arial"/>
          <w:sz w:val="20"/>
        </w:rPr>
        <w:t>Please direct any inquiries concerning these matters to the following contact:</w:t>
      </w:r>
    </w:p>
    <w:p>
      <w:pPr>
        <w:spacing w:line="388" w:lineRule="auto" w:before="145"/>
        <w:ind w:left="1132" w:right="7501" w:firstLine="0"/>
        <w:jc w:val="left"/>
        <w:rPr>
          <w:rFonts w:ascii="Arial" w:hAnsi="Arial"/>
          <w:sz w:val="20"/>
        </w:rPr>
      </w:pPr>
      <w:r>
        <w:rPr>
          <w:rFonts w:ascii="Arial" w:hAnsi="Arial"/>
          <w:sz w:val="20"/>
        </w:rPr>
        <w:t>Assistant Director – Tariff Legislation </w:t>
      </w:r>
      <w:hyperlink r:id="rId7">
        <w:r>
          <w:rPr>
            <w:rFonts w:ascii="Arial" w:hAnsi="Arial"/>
            <w:sz w:val="20"/>
            <w:u w:val="single"/>
          </w:rPr>
          <w:t>tradepolicy1@homeaffairs.gov.au</w:t>
        </w:r>
      </w:hyperlink>
    </w:p>
    <w:p>
      <w:pPr>
        <w:spacing w:line="264" w:lineRule="auto" w:before="1"/>
        <w:ind w:left="1132" w:right="1364" w:firstLine="0"/>
        <w:jc w:val="left"/>
        <w:rPr>
          <w:rFonts w:ascii="Arial"/>
          <w:sz w:val="20"/>
        </w:rPr>
      </w:pPr>
      <w:r>
        <w:rPr>
          <w:rFonts w:ascii="Arial"/>
          <w:sz w:val="20"/>
        </w:rPr>
        <w:t>Necessary changes to the Integrated Cargo Support System and the Online Working Tariff will be made to coincide with the scheduled commencement date. The Online Working Tariff can be accessed at:</w:t>
      </w:r>
    </w:p>
    <w:p>
      <w:pPr>
        <w:spacing w:line="266" w:lineRule="auto" w:before="118"/>
        <w:ind w:left="1132" w:right="1299" w:firstLine="0"/>
        <w:jc w:val="left"/>
        <w:rPr>
          <w:rFonts w:ascii="Arial"/>
          <w:sz w:val="20"/>
        </w:rPr>
      </w:pPr>
      <w:hyperlink r:id="rId8">
        <w:r>
          <w:rPr>
            <w:rFonts w:ascii="Arial"/>
            <w:w w:val="95"/>
            <w:sz w:val="20"/>
            <w:u w:val="single"/>
          </w:rPr>
          <w:t>https://www.homeaffairs.gov.au/busi/cargo-support-trade-and-goods/importing-goods/tariff-classification-of-</w:t>
        </w:r>
      </w:hyperlink>
      <w:r>
        <w:rPr>
          <w:rFonts w:ascii="Arial"/>
          <w:w w:val="95"/>
          <w:sz w:val="20"/>
        </w:rPr>
        <w:t> </w:t>
      </w:r>
      <w:hyperlink r:id="rId8">
        <w:r>
          <w:rPr>
            <w:rFonts w:ascii="Arial"/>
            <w:sz w:val="20"/>
            <w:u w:val="single"/>
          </w:rPr>
          <w:t>goods/current-tariff-classification</w:t>
        </w:r>
      </w:hyperlink>
    </w:p>
    <w:p>
      <w:pPr>
        <w:pStyle w:val="BodyText"/>
        <w:rPr>
          <w:rFonts w:ascii="Arial"/>
          <w:b w:val="0"/>
        </w:rPr>
      </w:pPr>
    </w:p>
    <w:p>
      <w:pPr>
        <w:pStyle w:val="BodyText"/>
        <w:rPr>
          <w:rFonts w:ascii="Arial"/>
          <w:b w:val="0"/>
        </w:rPr>
      </w:pPr>
    </w:p>
    <w:p>
      <w:pPr>
        <w:pStyle w:val="BodyText"/>
        <w:spacing w:before="10"/>
        <w:rPr>
          <w:rFonts w:ascii="Arial"/>
          <w:b w:val="0"/>
          <w:sz w:val="26"/>
        </w:rPr>
      </w:pPr>
    </w:p>
    <w:p>
      <w:pPr>
        <w:spacing w:before="93"/>
        <w:ind w:left="1132" w:right="0" w:firstLine="0"/>
        <w:jc w:val="left"/>
        <w:rPr>
          <w:rFonts w:ascii="Arial"/>
          <w:sz w:val="20"/>
        </w:rPr>
      </w:pPr>
      <w:r>
        <w:rPr>
          <w:rFonts w:ascii="Arial"/>
          <w:sz w:val="20"/>
        </w:rPr>
        <w:t>[Signed]</w:t>
      </w:r>
    </w:p>
    <w:p>
      <w:pPr>
        <w:spacing w:before="142"/>
        <w:ind w:left="1132" w:right="0" w:firstLine="0"/>
        <w:jc w:val="left"/>
        <w:rPr>
          <w:rFonts w:ascii="Arial"/>
          <w:sz w:val="20"/>
        </w:rPr>
      </w:pPr>
      <w:r>
        <w:rPr>
          <w:rFonts w:ascii="Arial"/>
          <w:sz w:val="20"/>
        </w:rPr>
        <w:t>Steve Moore</w:t>
      </w:r>
    </w:p>
    <w:p>
      <w:pPr>
        <w:spacing w:before="25"/>
        <w:ind w:left="1132" w:right="0" w:firstLine="0"/>
        <w:jc w:val="left"/>
        <w:rPr>
          <w:rFonts w:ascii="Arial"/>
          <w:sz w:val="20"/>
        </w:rPr>
      </w:pPr>
      <w:r>
        <w:rPr>
          <w:rFonts w:ascii="Arial"/>
          <w:sz w:val="20"/>
        </w:rPr>
        <w:t>A/g Assistant Secretary</w:t>
      </w:r>
    </w:p>
    <w:p>
      <w:pPr>
        <w:spacing w:line="266" w:lineRule="auto" w:before="22"/>
        <w:ind w:left="1132" w:right="7378" w:firstLine="0"/>
        <w:jc w:val="left"/>
        <w:rPr>
          <w:rFonts w:ascii="Arial"/>
          <w:sz w:val="20"/>
        </w:rPr>
      </w:pPr>
      <w:r>
        <w:rPr>
          <w:rFonts w:ascii="Arial"/>
          <w:sz w:val="20"/>
        </w:rPr>
        <w:t>Customs and Border Revenue Branch 21 June 2018</w:t>
      </w:r>
    </w:p>
    <w:p>
      <w:pPr>
        <w:spacing w:after="0" w:line="266" w:lineRule="auto"/>
        <w:jc w:val="left"/>
        <w:rPr>
          <w:rFonts w:ascii="Arial"/>
          <w:sz w:val="20"/>
        </w:rPr>
        <w:sectPr>
          <w:type w:val="continuous"/>
          <w:pgSz w:w="11910" w:h="16840"/>
          <w:pgMar w:top="0" w:bottom="280" w:left="0" w:right="0"/>
        </w:sect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spacing w:before="10"/>
        <w:rPr>
          <w:rFonts w:ascii="Arial"/>
          <w:b w:val="0"/>
          <w:sz w:val="23"/>
        </w:rPr>
      </w:pPr>
    </w:p>
    <w:p>
      <w:pPr>
        <w:pStyle w:val="Heading1"/>
        <w:spacing w:line="530" w:lineRule="auto"/>
        <w:ind w:left="5541" w:firstLine="3410"/>
      </w:pPr>
      <w:r>
        <w:rPr/>
        <w:drawing>
          <wp:anchor distT="0" distB="0" distL="0" distR="0" allowOverlap="1" layoutInCell="1" locked="0" behindDoc="0" simplePos="0" relativeHeight="15729152">
            <wp:simplePos x="0" y="0"/>
            <wp:positionH relativeFrom="page">
              <wp:posOffset>0</wp:posOffset>
            </wp:positionH>
            <wp:positionV relativeFrom="paragraph">
              <wp:posOffset>-764862</wp:posOffset>
            </wp:positionV>
            <wp:extent cx="7552055" cy="163160"/>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9" cstate="print"/>
                    <a:stretch>
                      <a:fillRect/>
                    </a:stretch>
                  </pic:blipFill>
                  <pic:spPr>
                    <a:xfrm>
                      <a:off x="0" y="0"/>
                      <a:ext cx="7552055" cy="163160"/>
                    </a:xfrm>
                    <a:prstGeom prst="rect">
                      <a:avLst/>
                    </a:prstGeom>
                  </pic:spPr>
                </pic:pic>
              </a:graphicData>
            </a:graphic>
          </wp:anchor>
        </w:drawing>
      </w:r>
      <w:bookmarkStart w:name="Attachment A" w:id="4"/>
      <w:bookmarkEnd w:id="4"/>
      <w:r>
        <w:rPr>
          <w:b w:val="0"/>
        </w:rPr>
      </w:r>
      <w:r>
        <w:rPr/>
        <w:t>Attachment A</w:t>
      </w:r>
      <w:bookmarkStart w:name="Revised Customs Tariff Working Pages" w:id="5"/>
      <w:bookmarkEnd w:id="5"/>
      <w:r>
        <w:rPr/>
      </w:r>
      <w:r>
        <w:rPr/>
        <w:t> Revised Customs Tariff Working Pages</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29"/>
        </w:rPr>
      </w:pPr>
    </w:p>
    <w:p>
      <w:pPr>
        <w:spacing w:before="95"/>
        <w:ind w:left="0" w:right="1556" w:firstLine="0"/>
        <w:jc w:val="right"/>
        <w:rPr>
          <w:rFonts w:ascii="Arial"/>
          <w:b/>
          <w:sz w:val="16"/>
        </w:rPr>
      </w:pPr>
      <w:r>
        <w:rPr>
          <w:rFonts w:ascii="Arial"/>
          <w:sz w:val="16"/>
        </w:rPr>
        <w:t>Page </w:t>
      </w:r>
      <w:r>
        <w:rPr>
          <w:rFonts w:ascii="Arial"/>
          <w:b/>
          <w:sz w:val="16"/>
        </w:rPr>
        <w:t>2 </w:t>
      </w:r>
      <w:r>
        <w:rPr>
          <w:rFonts w:ascii="Arial"/>
          <w:sz w:val="16"/>
        </w:rPr>
        <w:t>of </w:t>
      </w:r>
      <w:r>
        <w:rPr>
          <w:rFonts w:ascii="Arial"/>
          <w:b/>
          <w:sz w:val="16"/>
        </w:rPr>
        <w:t>2</w:t>
      </w:r>
    </w:p>
    <w:p>
      <w:pPr>
        <w:spacing w:after="0"/>
        <w:jc w:val="right"/>
        <w:rPr>
          <w:rFonts w:ascii="Arial"/>
          <w:sz w:val="16"/>
        </w:rPr>
        <w:sectPr>
          <w:pgSz w:w="11910" w:h="16840"/>
          <w:pgMar w:top="600" w:bottom="280" w:left="0" w:right="0"/>
        </w:sectPr>
      </w:pPr>
    </w:p>
    <w:tbl>
      <w:tblPr>
        <w:tblW w:w="0" w:type="auto"/>
        <w:jc w:val="left"/>
        <w:tblInd w:w="1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0"/>
        <w:gridCol w:w="698"/>
        <w:gridCol w:w="934"/>
        <w:gridCol w:w="5369"/>
        <w:gridCol w:w="2055"/>
      </w:tblGrid>
      <w:tr>
        <w:trPr>
          <w:trHeight w:val="1149" w:hRule="atLeast"/>
        </w:trPr>
        <w:tc>
          <w:tcPr>
            <w:tcW w:w="2192" w:type="dxa"/>
            <w:gridSpan w:val="3"/>
          </w:tcPr>
          <w:p>
            <w:pPr>
              <w:pStyle w:val="TableParagraph"/>
              <w:rPr>
                <w:sz w:val="20"/>
              </w:rPr>
            </w:pPr>
          </w:p>
        </w:tc>
        <w:tc>
          <w:tcPr>
            <w:tcW w:w="5369" w:type="dxa"/>
          </w:tcPr>
          <w:p>
            <w:pPr>
              <w:pStyle w:val="TableParagraph"/>
              <w:spacing w:line="348" w:lineRule="auto"/>
              <w:ind w:left="1530" w:right="1719"/>
              <w:jc w:val="center"/>
              <w:rPr>
                <w:rFonts w:ascii="Arial"/>
                <w:b/>
                <w:sz w:val="24"/>
              </w:rPr>
            </w:pPr>
            <w:r>
              <w:rPr>
                <w:rFonts w:ascii="Arial"/>
                <w:b/>
                <w:sz w:val="24"/>
              </w:rPr>
              <w:t>CUSTOMS TARIFF SCHEDULE 4</w:t>
            </w:r>
          </w:p>
          <w:p>
            <w:pPr>
              <w:pStyle w:val="TableParagraph"/>
              <w:spacing w:line="275" w:lineRule="exact"/>
              <w:ind w:left="605" w:right="790"/>
              <w:jc w:val="center"/>
              <w:rPr>
                <w:rFonts w:ascii="Arial"/>
                <w:b/>
                <w:sz w:val="24"/>
              </w:rPr>
            </w:pPr>
            <w:r>
              <w:rPr>
                <w:rFonts w:ascii="Arial"/>
                <w:b/>
                <w:sz w:val="24"/>
              </w:rPr>
              <w:t>CONCESSIONAL RATES OF DUTY</w:t>
            </w:r>
          </w:p>
        </w:tc>
        <w:tc>
          <w:tcPr>
            <w:tcW w:w="2055" w:type="dxa"/>
          </w:tcPr>
          <w:p>
            <w:pPr>
              <w:pStyle w:val="TableParagraph"/>
              <w:rPr>
                <w:sz w:val="20"/>
              </w:rPr>
            </w:pPr>
          </w:p>
        </w:tc>
      </w:tr>
      <w:tr>
        <w:trPr>
          <w:trHeight w:val="305" w:hRule="atLeast"/>
        </w:trPr>
        <w:tc>
          <w:tcPr>
            <w:tcW w:w="560" w:type="dxa"/>
            <w:tcBorders>
              <w:bottom w:val="single" w:sz="6" w:space="0" w:color="000000"/>
            </w:tcBorders>
          </w:tcPr>
          <w:p>
            <w:pPr>
              <w:pStyle w:val="TableParagraph"/>
              <w:spacing w:line="205" w:lineRule="exact" w:before="81"/>
              <w:rPr>
                <w:rFonts w:ascii="Arial Narrow"/>
                <w:b/>
                <w:sz w:val="20"/>
              </w:rPr>
            </w:pPr>
            <w:r>
              <w:rPr>
                <w:rFonts w:ascii="Arial Narrow"/>
                <w:b/>
                <w:sz w:val="20"/>
              </w:rPr>
              <w:t>R.3</w:t>
            </w:r>
          </w:p>
        </w:tc>
        <w:tc>
          <w:tcPr>
            <w:tcW w:w="698" w:type="dxa"/>
            <w:tcBorders>
              <w:bottom w:val="single" w:sz="6" w:space="0" w:color="000000"/>
            </w:tcBorders>
          </w:tcPr>
          <w:p>
            <w:pPr>
              <w:pStyle w:val="TableParagraph"/>
              <w:rPr>
                <w:sz w:val="20"/>
              </w:rPr>
            </w:pPr>
          </w:p>
        </w:tc>
        <w:tc>
          <w:tcPr>
            <w:tcW w:w="934" w:type="dxa"/>
            <w:tcBorders>
              <w:bottom w:val="single" w:sz="6" w:space="0" w:color="000000"/>
            </w:tcBorders>
          </w:tcPr>
          <w:p>
            <w:pPr>
              <w:pStyle w:val="TableParagraph"/>
              <w:rPr>
                <w:sz w:val="20"/>
              </w:rPr>
            </w:pPr>
          </w:p>
        </w:tc>
        <w:tc>
          <w:tcPr>
            <w:tcW w:w="5369" w:type="dxa"/>
            <w:tcBorders>
              <w:bottom w:val="single" w:sz="6" w:space="0" w:color="000000"/>
            </w:tcBorders>
          </w:tcPr>
          <w:p>
            <w:pPr>
              <w:pStyle w:val="TableParagraph"/>
              <w:rPr>
                <w:sz w:val="20"/>
              </w:rPr>
            </w:pPr>
          </w:p>
        </w:tc>
        <w:tc>
          <w:tcPr>
            <w:tcW w:w="2055" w:type="dxa"/>
            <w:tcBorders>
              <w:bottom w:val="single" w:sz="6" w:space="0" w:color="000000"/>
            </w:tcBorders>
          </w:tcPr>
          <w:p>
            <w:pPr>
              <w:pStyle w:val="TableParagraph"/>
              <w:spacing w:line="205" w:lineRule="exact" w:before="81"/>
              <w:ind w:left="956"/>
              <w:rPr>
                <w:rFonts w:ascii="Arial Narrow"/>
                <w:b/>
                <w:sz w:val="20"/>
              </w:rPr>
            </w:pPr>
            <w:r>
              <w:rPr>
                <w:rFonts w:ascii="Arial Narrow"/>
                <w:b/>
                <w:sz w:val="20"/>
              </w:rPr>
              <w:t>Schedule 4/21</w:t>
            </w:r>
          </w:p>
        </w:tc>
      </w:tr>
      <w:tr>
        <w:trPr>
          <w:trHeight w:val="747" w:hRule="atLeast"/>
        </w:trPr>
        <w:tc>
          <w:tcPr>
            <w:tcW w:w="560" w:type="dxa"/>
            <w:tcBorders>
              <w:top w:val="single" w:sz="6" w:space="0" w:color="000000"/>
            </w:tcBorders>
          </w:tcPr>
          <w:p>
            <w:pPr>
              <w:pStyle w:val="TableParagraph"/>
              <w:spacing w:before="58"/>
              <w:ind w:left="108"/>
              <w:rPr>
                <w:rFonts w:ascii="Arial Narrow"/>
                <w:b/>
                <w:sz w:val="20"/>
              </w:rPr>
            </w:pPr>
            <w:r>
              <w:rPr>
                <w:rFonts w:ascii="Arial Narrow"/>
                <w:b/>
                <w:sz w:val="20"/>
              </w:rPr>
              <w:t>Item</w:t>
            </w:r>
          </w:p>
        </w:tc>
        <w:tc>
          <w:tcPr>
            <w:tcW w:w="698" w:type="dxa"/>
            <w:tcBorders>
              <w:top w:val="single" w:sz="6" w:space="0" w:color="000000"/>
            </w:tcBorders>
          </w:tcPr>
          <w:p>
            <w:pPr>
              <w:pStyle w:val="TableParagraph"/>
              <w:spacing w:line="230" w:lineRule="atLeast" w:before="56"/>
              <w:ind w:left="114" w:right="108"/>
              <w:rPr>
                <w:rFonts w:ascii="Arial Narrow"/>
                <w:b/>
                <w:sz w:val="20"/>
              </w:rPr>
            </w:pPr>
            <w:r>
              <w:rPr>
                <w:rFonts w:ascii="Arial Narrow"/>
                <w:b/>
                <w:sz w:val="20"/>
              </w:rPr>
              <w:t>Treat- ment Code</w:t>
            </w:r>
          </w:p>
        </w:tc>
        <w:tc>
          <w:tcPr>
            <w:tcW w:w="934" w:type="dxa"/>
            <w:tcBorders>
              <w:top w:val="single" w:sz="6" w:space="0" w:color="000000"/>
            </w:tcBorders>
          </w:tcPr>
          <w:p>
            <w:pPr>
              <w:pStyle w:val="TableParagraph"/>
              <w:spacing w:line="230" w:lineRule="atLeast" w:before="56"/>
              <w:ind w:left="126" w:right="168"/>
              <w:rPr>
                <w:rFonts w:ascii="Arial Narrow"/>
                <w:b/>
                <w:sz w:val="20"/>
              </w:rPr>
            </w:pPr>
            <w:r>
              <w:rPr>
                <w:rFonts w:ascii="Arial Narrow"/>
                <w:b/>
                <w:sz w:val="20"/>
              </w:rPr>
              <w:t>Refer- ence Number</w:t>
            </w:r>
          </w:p>
        </w:tc>
        <w:tc>
          <w:tcPr>
            <w:tcW w:w="5369" w:type="dxa"/>
            <w:tcBorders>
              <w:top w:val="single" w:sz="6" w:space="0" w:color="000000"/>
            </w:tcBorders>
          </w:tcPr>
          <w:p>
            <w:pPr>
              <w:pStyle w:val="TableParagraph"/>
              <w:spacing w:before="58"/>
              <w:ind w:left="184"/>
              <w:rPr>
                <w:rFonts w:ascii="Arial Narrow"/>
                <w:b/>
                <w:sz w:val="20"/>
              </w:rPr>
            </w:pPr>
            <w:r>
              <w:rPr>
                <w:rFonts w:ascii="Arial Narrow"/>
                <w:b/>
                <w:sz w:val="20"/>
              </w:rPr>
              <w:t>Statistical</w:t>
            </w:r>
          </w:p>
          <w:p>
            <w:pPr>
              <w:pStyle w:val="TableParagraph"/>
              <w:tabs>
                <w:tab w:pos="2804" w:val="left" w:leader="none"/>
              </w:tabs>
              <w:spacing w:line="230" w:lineRule="atLeast"/>
              <w:ind w:left="184" w:right="891"/>
              <w:rPr>
                <w:rFonts w:ascii="Arial Narrow"/>
                <w:b/>
                <w:sz w:val="20"/>
              </w:rPr>
            </w:pPr>
            <w:r>
              <w:rPr>
                <w:rFonts w:ascii="Arial Narrow"/>
                <w:b/>
                <w:sz w:val="20"/>
              </w:rPr>
              <w:t>Code/Unit</w:t>
              <w:tab/>
              <w:t>Description of </w:t>
            </w:r>
            <w:r>
              <w:rPr>
                <w:rFonts w:ascii="Arial Narrow"/>
                <w:b/>
                <w:spacing w:val="-3"/>
                <w:sz w:val="20"/>
              </w:rPr>
              <w:t>Goods </w:t>
            </w:r>
            <w:r>
              <w:rPr>
                <w:rFonts w:ascii="Arial Narrow"/>
                <w:b/>
                <w:sz w:val="20"/>
              </w:rPr>
              <w:t>of Quantity</w:t>
            </w:r>
          </w:p>
        </w:tc>
        <w:tc>
          <w:tcPr>
            <w:tcW w:w="2055" w:type="dxa"/>
            <w:tcBorders>
              <w:top w:val="single" w:sz="6" w:space="0" w:color="000000"/>
            </w:tcBorders>
          </w:tcPr>
          <w:p>
            <w:pPr>
              <w:pStyle w:val="TableParagraph"/>
              <w:rPr>
                <w:rFonts w:ascii="Arial"/>
                <w:b/>
                <w:sz w:val="25"/>
              </w:rPr>
            </w:pPr>
          </w:p>
          <w:p>
            <w:pPr>
              <w:pStyle w:val="TableParagraph"/>
              <w:spacing w:before="1"/>
              <w:ind w:left="784" w:right="737"/>
              <w:jc w:val="center"/>
              <w:rPr>
                <w:rFonts w:ascii="Arial Narrow"/>
                <w:b/>
                <w:sz w:val="20"/>
              </w:rPr>
            </w:pPr>
            <w:r>
              <w:rPr>
                <w:rFonts w:ascii="Arial Narrow"/>
                <w:b/>
                <w:sz w:val="20"/>
              </w:rPr>
              <w:t>Rate #</w:t>
            </w:r>
          </w:p>
        </w:tc>
      </w:tr>
    </w:tbl>
    <w:tbl>
      <w:tblPr>
        <w:tblW w:w="0" w:type="auto"/>
        <w:jc w:val="left"/>
        <w:tblInd w:w="1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4"/>
        <w:gridCol w:w="644"/>
        <w:gridCol w:w="1281"/>
        <w:gridCol w:w="5686"/>
        <w:gridCol w:w="2110"/>
      </w:tblGrid>
      <w:tr>
        <w:trPr>
          <w:trHeight w:val="1072" w:hRule="atLeast"/>
        </w:trPr>
        <w:tc>
          <w:tcPr>
            <w:tcW w:w="504" w:type="dxa"/>
            <w:tcBorders>
              <w:top w:val="single" w:sz="6" w:space="0" w:color="000000"/>
            </w:tcBorders>
          </w:tcPr>
          <w:p>
            <w:pPr>
              <w:pStyle w:val="TableParagraph"/>
              <w:rPr>
                <w:rFonts w:ascii="Arial"/>
                <w:b/>
                <w:sz w:val="22"/>
              </w:rPr>
            </w:pPr>
          </w:p>
          <w:p>
            <w:pPr>
              <w:pStyle w:val="TableParagraph"/>
              <w:spacing w:before="10"/>
              <w:rPr>
                <w:rFonts w:ascii="Arial"/>
                <w:b/>
                <w:sz w:val="27"/>
              </w:rPr>
            </w:pPr>
          </w:p>
          <w:p>
            <w:pPr>
              <w:pStyle w:val="TableParagraph"/>
              <w:ind w:left="120"/>
              <w:rPr>
                <w:b/>
                <w:sz w:val="20"/>
              </w:rPr>
            </w:pPr>
            <w:r>
              <w:rPr>
                <w:b/>
                <w:sz w:val="20"/>
              </w:rPr>
              <w:t>50</w:t>
            </w:r>
          </w:p>
        </w:tc>
        <w:tc>
          <w:tcPr>
            <w:tcW w:w="644" w:type="dxa"/>
            <w:tcBorders>
              <w:top w:val="single" w:sz="6" w:space="0" w:color="000000"/>
            </w:tcBorders>
          </w:tcPr>
          <w:p>
            <w:pPr>
              <w:pStyle w:val="TableParagraph"/>
              <w:rPr>
                <w:sz w:val="20"/>
              </w:rPr>
            </w:pPr>
          </w:p>
        </w:tc>
        <w:tc>
          <w:tcPr>
            <w:tcW w:w="1281" w:type="dxa"/>
            <w:tcBorders>
              <w:top w:val="single" w:sz="6" w:space="0" w:color="000000"/>
            </w:tcBorders>
          </w:tcPr>
          <w:p>
            <w:pPr>
              <w:pStyle w:val="TableParagraph"/>
              <w:rPr>
                <w:sz w:val="20"/>
              </w:rPr>
            </w:pPr>
          </w:p>
        </w:tc>
        <w:tc>
          <w:tcPr>
            <w:tcW w:w="5686" w:type="dxa"/>
            <w:tcBorders>
              <w:top w:val="single" w:sz="6" w:space="0" w:color="000000"/>
            </w:tcBorders>
          </w:tcPr>
          <w:p>
            <w:pPr>
              <w:pStyle w:val="TableParagraph"/>
              <w:spacing w:before="2"/>
              <w:ind w:left="971"/>
              <w:rPr>
                <w:b/>
                <w:sz w:val="20"/>
              </w:rPr>
            </w:pPr>
            <w:r>
              <w:rPr>
                <w:b/>
                <w:sz w:val="20"/>
                <w:u w:val="single"/>
              </w:rPr>
              <w:t>Item 50 – Tariff concession order goods</w:t>
            </w:r>
          </w:p>
          <w:p>
            <w:pPr>
              <w:pStyle w:val="TableParagraph"/>
              <w:spacing w:line="196" w:lineRule="auto" w:before="186"/>
              <w:ind w:left="971" w:right="648"/>
              <w:rPr>
                <w:b/>
                <w:sz w:val="20"/>
              </w:rPr>
            </w:pPr>
            <w:r>
              <w:rPr>
                <w:b/>
                <w:sz w:val="20"/>
              </w:rPr>
              <w:t>Goods that a tariff concession order, under Part XVA of the </w:t>
            </w:r>
            <w:r>
              <w:rPr>
                <w:rFonts w:ascii="TimesNewRomanPS-BoldItalicMT"/>
                <w:b/>
                <w:i/>
                <w:sz w:val="20"/>
              </w:rPr>
              <w:t>Customs Act 1901</w:t>
            </w:r>
            <w:r>
              <w:rPr>
                <w:b/>
                <w:sz w:val="20"/>
              </w:rPr>
              <w:t>, declares are goods to which this item</w:t>
            </w:r>
            <w:r>
              <w:rPr>
                <w:b/>
                <w:spacing w:val="-10"/>
                <w:sz w:val="20"/>
              </w:rPr>
              <w:t> </w:t>
            </w:r>
            <w:r>
              <w:rPr>
                <w:b/>
                <w:sz w:val="20"/>
              </w:rPr>
              <w:t>applies:</w:t>
            </w:r>
          </w:p>
        </w:tc>
        <w:tc>
          <w:tcPr>
            <w:tcW w:w="2110" w:type="dxa"/>
            <w:tcBorders>
              <w:top w:val="single" w:sz="6" w:space="0" w:color="000000"/>
            </w:tcBorders>
          </w:tcPr>
          <w:p>
            <w:pPr>
              <w:pStyle w:val="TableParagraph"/>
              <w:rPr>
                <w:sz w:val="20"/>
              </w:rPr>
            </w:pPr>
          </w:p>
        </w:tc>
      </w:tr>
      <w:tr>
        <w:trPr>
          <w:trHeight w:val="760" w:hRule="atLeast"/>
        </w:trPr>
        <w:tc>
          <w:tcPr>
            <w:tcW w:w="504" w:type="dxa"/>
          </w:tcPr>
          <w:p>
            <w:pPr>
              <w:pStyle w:val="TableParagraph"/>
              <w:rPr>
                <w:sz w:val="20"/>
              </w:rPr>
            </w:pPr>
          </w:p>
        </w:tc>
        <w:tc>
          <w:tcPr>
            <w:tcW w:w="644" w:type="dxa"/>
          </w:tcPr>
          <w:p>
            <w:pPr>
              <w:pStyle w:val="TableParagraph"/>
              <w:spacing w:before="70"/>
              <w:ind w:left="163" w:right="140"/>
              <w:jc w:val="center"/>
              <w:rPr>
                <w:sz w:val="20"/>
              </w:rPr>
            </w:pPr>
            <w:r>
              <w:rPr>
                <w:sz w:val="20"/>
              </w:rPr>
              <w:t>505</w:t>
            </w:r>
          </w:p>
        </w:tc>
        <w:tc>
          <w:tcPr>
            <w:tcW w:w="1281" w:type="dxa"/>
          </w:tcPr>
          <w:p>
            <w:pPr>
              <w:pStyle w:val="TableParagraph"/>
              <w:spacing w:before="70"/>
              <w:ind w:left="210"/>
              <w:rPr>
                <w:b/>
                <w:sz w:val="20"/>
              </w:rPr>
            </w:pPr>
            <w:r>
              <w:rPr>
                <w:b/>
                <w:w w:val="99"/>
                <w:sz w:val="20"/>
              </w:rPr>
              <w:t>*</w:t>
            </w:r>
          </w:p>
        </w:tc>
        <w:tc>
          <w:tcPr>
            <w:tcW w:w="5686" w:type="dxa"/>
          </w:tcPr>
          <w:p>
            <w:pPr>
              <w:pStyle w:val="TableParagraph"/>
              <w:spacing w:line="199" w:lineRule="auto" w:before="101"/>
              <w:ind w:left="1255" w:right="244" w:hanging="284"/>
              <w:rPr>
                <w:b/>
                <w:sz w:val="20"/>
              </w:rPr>
            </w:pPr>
            <w:r>
              <w:rPr>
                <w:b/>
                <w:sz w:val="20"/>
              </w:rPr>
              <w:t>(a) goods except goods classified under subheading 3817.00.10, or heading 3819.00.00, of Schedule 3; or</w:t>
            </w:r>
          </w:p>
        </w:tc>
        <w:tc>
          <w:tcPr>
            <w:tcW w:w="2110" w:type="dxa"/>
          </w:tcPr>
          <w:p>
            <w:pPr>
              <w:pStyle w:val="TableParagraph"/>
              <w:spacing w:before="70"/>
              <w:ind w:left="265"/>
              <w:rPr>
                <w:b/>
                <w:sz w:val="20"/>
              </w:rPr>
            </w:pPr>
            <w:r>
              <w:rPr>
                <w:b/>
                <w:sz w:val="20"/>
              </w:rPr>
              <w:t>Free</w:t>
            </w:r>
          </w:p>
        </w:tc>
      </w:tr>
      <w:tr>
        <w:trPr>
          <w:trHeight w:val="1519" w:hRule="atLeast"/>
        </w:trPr>
        <w:tc>
          <w:tcPr>
            <w:tcW w:w="504" w:type="dxa"/>
          </w:tcPr>
          <w:p>
            <w:pPr>
              <w:pStyle w:val="TableParagraph"/>
              <w:rPr>
                <w:sz w:val="20"/>
              </w:rPr>
            </w:pPr>
          </w:p>
        </w:tc>
        <w:tc>
          <w:tcPr>
            <w:tcW w:w="644" w:type="dxa"/>
          </w:tcPr>
          <w:p>
            <w:pPr>
              <w:pStyle w:val="TableParagraph"/>
              <w:spacing w:before="70"/>
              <w:ind w:left="163" w:right="140"/>
              <w:jc w:val="center"/>
              <w:rPr>
                <w:sz w:val="20"/>
              </w:rPr>
            </w:pPr>
            <w:r>
              <w:rPr>
                <w:sz w:val="20"/>
              </w:rPr>
              <w:t>508</w:t>
            </w:r>
          </w:p>
        </w:tc>
        <w:tc>
          <w:tcPr>
            <w:tcW w:w="1281" w:type="dxa"/>
          </w:tcPr>
          <w:p>
            <w:pPr>
              <w:pStyle w:val="TableParagraph"/>
              <w:spacing w:before="70"/>
              <w:ind w:left="210"/>
              <w:rPr>
                <w:b/>
                <w:sz w:val="20"/>
              </w:rPr>
            </w:pPr>
            <w:r>
              <w:rPr>
                <w:b/>
                <w:w w:val="99"/>
                <w:sz w:val="20"/>
              </w:rPr>
              <w:t>*</w:t>
            </w:r>
          </w:p>
        </w:tc>
        <w:tc>
          <w:tcPr>
            <w:tcW w:w="5686" w:type="dxa"/>
          </w:tcPr>
          <w:p>
            <w:pPr>
              <w:pStyle w:val="TableParagraph"/>
              <w:spacing w:line="196" w:lineRule="auto" w:before="103"/>
              <w:ind w:left="1255" w:hanging="284"/>
              <w:rPr>
                <w:b/>
                <w:sz w:val="20"/>
              </w:rPr>
            </w:pPr>
            <w:r>
              <w:rPr>
                <w:b/>
                <w:sz w:val="20"/>
              </w:rPr>
              <w:t>(b) goods classified under subheading 3817.00.10 of Schedule 3: or</w:t>
            </w:r>
          </w:p>
        </w:tc>
        <w:tc>
          <w:tcPr>
            <w:tcW w:w="2110" w:type="dxa"/>
          </w:tcPr>
          <w:p>
            <w:pPr>
              <w:pStyle w:val="TableParagraph"/>
              <w:spacing w:line="210" w:lineRule="exact" w:before="70"/>
              <w:ind w:left="265"/>
              <w:rPr>
                <w:b/>
                <w:sz w:val="20"/>
              </w:rPr>
            </w:pPr>
            <w:r>
              <w:rPr>
                <w:b/>
                <w:sz w:val="20"/>
              </w:rPr>
              <w:t>$0.389/L</w:t>
            </w:r>
          </w:p>
          <w:p>
            <w:pPr>
              <w:pStyle w:val="TableParagraph"/>
              <w:spacing w:line="196" w:lineRule="auto" w:before="13"/>
              <w:ind w:left="265" w:right="166"/>
              <w:rPr>
                <w:b/>
                <w:sz w:val="20"/>
              </w:rPr>
            </w:pPr>
            <w:r>
              <w:rPr>
                <w:b/>
                <w:w w:val="95"/>
                <w:sz w:val="20"/>
              </w:rPr>
              <w:t>NZ/PG/FI/ </w:t>
            </w:r>
            <w:r>
              <w:rPr>
                <w:b/>
                <w:sz w:val="20"/>
              </w:rPr>
              <w:t>DC/LDC/</w:t>
            </w:r>
          </w:p>
          <w:p>
            <w:pPr>
              <w:pStyle w:val="TableParagraph"/>
              <w:spacing w:line="199" w:lineRule="auto"/>
              <w:ind w:left="265"/>
              <w:rPr>
                <w:b/>
                <w:sz w:val="20"/>
              </w:rPr>
            </w:pPr>
            <w:r>
              <w:rPr>
                <w:b/>
                <w:sz w:val="20"/>
              </w:rPr>
              <w:t>SG/US/TH/ </w:t>
            </w:r>
            <w:r>
              <w:rPr>
                <w:b/>
                <w:w w:val="95"/>
                <w:sz w:val="20"/>
              </w:rPr>
              <w:t>CL/AANZ/MY/KR</w:t>
            </w:r>
          </w:p>
          <w:p>
            <w:pPr>
              <w:pStyle w:val="TableParagraph"/>
              <w:spacing w:line="178" w:lineRule="exact"/>
              <w:ind w:left="265"/>
              <w:rPr>
                <w:b/>
                <w:sz w:val="20"/>
              </w:rPr>
            </w:pPr>
            <w:r>
              <w:rPr>
                <w:b/>
                <w:sz w:val="20"/>
              </w:rPr>
              <w:t>/JP/CN:</w:t>
            </w:r>
          </w:p>
          <w:p>
            <w:pPr>
              <w:pStyle w:val="TableParagraph"/>
              <w:spacing w:line="210" w:lineRule="exact"/>
              <w:ind w:left="265"/>
              <w:rPr>
                <w:b/>
                <w:sz w:val="20"/>
              </w:rPr>
            </w:pPr>
            <w:r>
              <w:rPr>
                <w:b/>
                <w:sz w:val="20"/>
              </w:rPr>
              <w:t>$0.389/L</w:t>
            </w:r>
          </w:p>
        </w:tc>
      </w:tr>
      <w:tr>
        <w:trPr>
          <w:trHeight w:val="950" w:hRule="atLeast"/>
        </w:trPr>
        <w:tc>
          <w:tcPr>
            <w:tcW w:w="504" w:type="dxa"/>
          </w:tcPr>
          <w:p>
            <w:pPr>
              <w:pStyle w:val="TableParagraph"/>
              <w:rPr>
                <w:sz w:val="20"/>
              </w:rPr>
            </w:pPr>
          </w:p>
        </w:tc>
        <w:tc>
          <w:tcPr>
            <w:tcW w:w="644" w:type="dxa"/>
          </w:tcPr>
          <w:p>
            <w:pPr>
              <w:pStyle w:val="TableParagraph"/>
              <w:rPr>
                <w:rFonts w:ascii="Arial"/>
                <w:b/>
                <w:sz w:val="22"/>
              </w:rPr>
            </w:pPr>
          </w:p>
          <w:p>
            <w:pPr>
              <w:pStyle w:val="TableParagraph"/>
              <w:rPr>
                <w:rFonts w:ascii="Arial"/>
                <w:b/>
                <w:sz w:val="22"/>
              </w:rPr>
            </w:pPr>
          </w:p>
          <w:p>
            <w:pPr>
              <w:pStyle w:val="TableParagraph"/>
              <w:spacing w:before="135"/>
              <w:ind w:left="163" w:right="140"/>
              <w:jc w:val="center"/>
              <w:rPr>
                <w:sz w:val="20"/>
              </w:rPr>
            </w:pPr>
            <w:r>
              <w:rPr>
                <w:sz w:val="20"/>
              </w:rPr>
              <w:t>509</w:t>
            </w:r>
          </w:p>
        </w:tc>
        <w:tc>
          <w:tcPr>
            <w:tcW w:w="1281" w:type="dxa"/>
          </w:tcPr>
          <w:p>
            <w:pPr>
              <w:pStyle w:val="TableParagraph"/>
              <w:rPr>
                <w:rFonts w:ascii="Arial"/>
                <w:b/>
                <w:sz w:val="22"/>
              </w:rPr>
            </w:pPr>
          </w:p>
          <w:p>
            <w:pPr>
              <w:pStyle w:val="TableParagraph"/>
              <w:rPr>
                <w:rFonts w:ascii="Arial"/>
                <w:b/>
                <w:sz w:val="22"/>
              </w:rPr>
            </w:pPr>
          </w:p>
          <w:p>
            <w:pPr>
              <w:pStyle w:val="TableParagraph"/>
              <w:spacing w:before="135"/>
              <w:ind w:left="159"/>
              <w:rPr>
                <w:b/>
                <w:sz w:val="20"/>
              </w:rPr>
            </w:pPr>
            <w:r>
              <w:rPr>
                <w:b/>
                <w:w w:val="99"/>
                <w:sz w:val="20"/>
              </w:rPr>
              <w:t>*</w:t>
            </w:r>
          </w:p>
        </w:tc>
        <w:tc>
          <w:tcPr>
            <w:tcW w:w="5686" w:type="dxa"/>
          </w:tcPr>
          <w:p>
            <w:pPr>
              <w:pStyle w:val="TableParagraph"/>
              <w:numPr>
                <w:ilvl w:val="0"/>
                <w:numId w:val="2"/>
              </w:numPr>
              <w:tabs>
                <w:tab w:pos="1255" w:val="left" w:leader="none"/>
              </w:tabs>
              <w:spacing w:line="196" w:lineRule="auto" w:before="103" w:after="0"/>
              <w:ind w:left="1255" w:right="653" w:hanging="284"/>
              <w:jc w:val="left"/>
              <w:rPr>
                <w:b/>
                <w:sz w:val="20"/>
              </w:rPr>
            </w:pPr>
            <w:r>
              <w:rPr>
                <w:b/>
                <w:sz w:val="20"/>
              </w:rPr>
              <w:t>goods classified under heading 3819.00.00 of Schedule 3; or</w:t>
            </w:r>
          </w:p>
          <w:p>
            <w:pPr>
              <w:pStyle w:val="TableParagraph"/>
              <w:numPr>
                <w:ilvl w:val="1"/>
                <w:numId w:val="2"/>
              </w:numPr>
              <w:tabs>
                <w:tab w:pos="1680" w:val="left" w:leader="none"/>
              </w:tabs>
              <w:spacing w:line="240" w:lineRule="auto" w:before="161" w:after="0"/>
              <w:ind w:left="1679" w:right="0" w:hanging="332"/>
              <w:jc w:val="left"/>
              <w:rPr>
                <w:sz w:val="20"/>
              </w:rPr>
            </w:pPr>
            <w:r>
              <w:rPr>
                <w:b/>
                <w:sz w:val="20"/>
              </w:rPr>
              <w:t>as prescribed by by-law; or</w:t>
            </w:r>
            <w:r>
              <w:rPr>
                <w:b/>
                <w:spacing w:val="44"/>
                <w:sz w:val="20"/>
              </w:rPr>
              <w:t> </w:t>
            </w:r>
            <w:r>
              <w:rPr>
                <w:sz w:val="20"/>
              </w:rPr>
              <w:t>†</w:t>
            </w:r>
          </w:p>
        </w:tc>
        <w:tc>
          <w:tcPr>
            <w:tcW w:w="2110" w:type="dxa"/>
          </w:tcPr>
          <w:p>
            <w:pPr>
              <w:pStyle w:val="TableParagraph"/>
              <w:rPr>
                <w:rFonts w:ascii="Arial"/>
                <w:b/>
                <w:sz w:val="22"/>
              </w:rPr>
            </w:pPr>
          </w:p>
          <w:p>
            <w:pPr>
              <w:pStyle w:val="TableParagraph"/>
              <w:rPr>
                <w:rFonts w:ascii="Arial"/>
                <w:b/>
                <w:sz w:val="22"/>
              </w:rPr>
            </w:pPr>
          </w:p>
          <w:p>
            <w:pPr>
              <w:pStyle w:val="TableParagraph"/>
              <w:spacing w:before="135"/>
              <w:ind w:left="265"/>
              <w:rPr>
                <w:b/>
                <w:sz w:val="20"/>
              </w:rPr>
            </w:pPr>
            <w:r>
              <w:rPr>
                <w:b/>
                <w:sz w:val="20"/>
              </w:rPr>
              <w:t>Free</w:t>
            </w:r>
          </w:p>
        </w:tc>
      </w:tr>
      <w:tr>
        <w:trPr>
          <w:trHeight w:val="1519" w:hRule="atLeast"/>
        </w:trPr>
        <w:tc>
          <w:tcPr>
            <w:tcW w:w="504" w:type="dxa"/>
          </w:tcPr>
          <w:p>
            <w:pPr>
              <w:pStyle w:val="TableParagraph"/>
              <w:rPr>
                <w:sz w:val="20"/>
              </w:rPr>
            </w:pPr>
          </w:p>
        </w:tc>
        <w:tc>
          <w:tcPr>
            <w:tcW w:w="644" w:type="dxa"/>
          </w:tcPr>
          <w:p>
            <w:pPr>
              <w:pStyle w:val="TableParagraph"/>
              <w:spacing w:before="70"/>
              <w:ind w:left="163" w:right="140"/>
              <w:jc w:val="center"/>
              <w:rPr>
                <w:sz w:val="20"/>
              </w:rPr>
            </w:pPr>
            <w:r>
              <w:rPr>
                <w:sz w:val="20"/>
              </w:rPr>
              <w:t>507</w:t>
            </w:r>
          </w:p>
        </w:tc>
        <w:tc>
          <w:tcPr>
            <w:tcW w:w="1281" w:type="dxa"/>
          </w:tcPr>
          <w:p>
            <w:pPr>
              <w:pStyle w:val="TableParagraph"/>
              <w:spacing w:before="70"/>
              <w:ind w:left="159"/>
              <w:rPr>
                <w:b/>
                <w:sz w:val="20"/>
              </w:rPr>
            </w:pPr>
            <w:r>
              <w:rPr>
                <w:b/>
                <w:w w:val="99"/>
                <w:sz w:val="20"/>
              </w:rPr>
              <w:t>*</w:t>
            </w:r>
          </w:p>
        </w:tc>
        <w:tc>
          <w:tcPr>
            <w:tcW w:w="5686" w:type="dxa"/>
          </w:tcPr>
          <w:p>
            <w:pPr>
              <w:pStyle w:val="TableParagraph"/>
              <w:spacing w:before="70"/>
              <w:ind w:left="1293"/>
              <w:rPr>
                <w:b/>
                <w:sz w:val="20"/>
              </w:rPr>
            </w:pPr>
            <w:r>
              <w:rPr>
                <w:b/>
                <w:sz w:val="20"/>
              </w:rPr>
              <w:t>(ii) other</w:t>
            </w:r>
          </w:p>
        </w:tc>
        <w:tc>
          <w:tcPr>
            <w:tcW w:w="2110" w:type="dxa"/>
          </w:tcPr>
          <w:p>
            <w:pPr>
              <w:pStyle w:val="TableParagraph"/>
              <w:spacing w:line="210" w:lineRule="exact" w:before="70"/>
              <w:ind w:left="265"/>
              <w:rPr>
                <w:b/>
                <w:sz w:val="20"/>
              </w:rPr>
            </w:pPr>
            <w:r>
              <w:rPr>
                <w:b/>
                <w:sz w:val="20"/>
              </w:rPr>
              <w:t>$0.085/L</w:t>
            </w:r>
          </w:p>
          <w:p>
            <w:pPr>
              <w:pStyle w:val="TableParagraph"/>
              <w:spacing w:line="196" w:lineRule="auto" w:before="13"/>
              <w:ind w:left="265" w:right="166"/>
              <w:rPr>
                <w:b/>
                <w:sz w:val="20"/>
              </w:rPr>
            </w:pPr>
            <w:r>
              <w:rPr>
                <w:b/>
                <w:w w:val="95"/>
                <w:sz w:val="20"/>
              </w:rPr>
              <w:t>NZ/PG/FI/ </w:t>
            </w:r>
            <w:r>
              <w:rPr>
                <w:b/>
                <w:sz w:val="20"/>
              </w:rPr>
              <w:t>DC/LDC/</w:t>
            </w:r>
          </w:p>
          <w:p>
            <w:pPr>
              <w:pStyle w:val="TableParagraph"/>
              <w:spacing w:line="196" w:lineRule="auto" w:before="5"/>
              <w:ind w:left="265"/>
              <w:rPr>
                <w:b/>
                <w:sz w:val="20"/>
              </w:rPr>
            </w:pPr>
            <w:r>
              <w:rPr>
                <w:b/>
                <w:sz w:val="20"/>
              </w:rPr>
              <w:t>SG/US/TH/ </w:t>
            </w:r>
            <w:r>
              <w:rPr>
                <w:b/>
                <w:w w:val="95"/>
                <w:sz w:val="20"/>
              </w:rPr>
              <w:t>CL/AANZ/MY/KR</w:t>
            </w:r>
          </w:p>
          <w:p>
            <w:pPr>
              <w:pStyle w:val="TableParagraph"/>
              <w:spacing w:line="178" w:lineRule="exact"/>
              <w:ind w:left="265"/>
              <w:rPr>
                <w:b/>
                <w:sz w:val="20"/>
              </w:rPr>
            </w:pPr>
            <w:r>
              <w:rPr>
                <w:b/>
                <w:sz w:val="20"/>
              </w:rPr>
              <w:t>/JP/CN:</w:t>
            </w:r>
          </w:p>
          <w:p>
            <w:pPr>
              <w:pStyle w:val="TableParagraph"/>
              <w:spacing w:line="210" w:lineRule="exact"/>
              <w:ind w:left="265"/>
              <w:rPr>
                <w:b/>
                <w:sz w:val="20"/>
              </w:rPr>
            </w:pPr>
            <w:r>
              <w:rPr>
                <w:b/>
                <w:sz w:val="20"/>
              </w:rPr>
              <w:t>$0.085/L</w:t>
            </w:r>
          </w:p>
        </w:tc>
      </w:tr>
      <w:tr>
        <w:trPr>
          <w:trHeight w:val="2940" w:hRule="atLeast"/>
        </w:trPr>
        <w:tc>
          <w:tcPr>
            <w:tcW w:w="504" w:type="dxa"/>
          </w:tcPr>
          <w:p>
            <w:pPr>
              <w:pStyle w:val="TableParagraph"/>
              <w:rPr>
                <w:rFonts w:ascii="Arial"/>
                <w:b/>
                <w:sz w:val="22"/>
              </w:rPr>
            </w:pPr>
          </w:p>
          <w:p>
            <w:pPr>
              <w:pStyle w:val="TableParagraph"/>
              <w:rPr>
                <w:rFonts w:ascii="Arial"/>
                <w:b/>
                <w:sz w:val="22"/>
              </w:rPr>
            </w:pPr>
          </w:p>
          <w:p>
            <w:pPr>
              <w:pStyle w:val="TableParagraph"/>
              <w:spacing w:before="2"/>
              <w:rPr>
                <w:rFonts w:ascii="Arial"/>
                <w:b/>
                <w:sz w:val="28"/>
              </w:rPr>
            </w:pPr>
          </w:p>
          <w:p>
            <w:pPr>
              <w:pStyle w:val="TableParagraph"/>
              <w:spacing w:before="1"/>
              <w:ind w:left="120"/>
              <w:rPr>
                <w:b/>
                <w:sz w:val="20"/>
              </w:rPr>
            </w:pPr>
            <w:r>
              <w:rPr>
                <w:b/>
                <w:sz w:val="20"/>
              </w:rPr>
              <w:t>51</w:t>
            </w:r>
          </w:p>
        </w:tc>
        <w:tc>
          <w:tcPr>
            <w:tcW w:w="644" w:type="dxa"/>
          </w:tcPr>
          <w:p>
            <w:pPr>
              <w:pStyle w:val="TableParagraph"/>
              <w:rPr>
                <w:rFonts w:ascii="Arial"/>
                <w:b/>
                <w:sz w:val="22"/>
              </w:rPr>
            </w:pPr>
          </w:p>
          <w:p>
            <w:pPr>
              <w:pStyle w:val="TableParagraph"/>
              <w:rPr>
                <w:rFonts w:ascii="Arial"/>
                <w:b/>
                <w:sz w:val="22"/>
              </w:rPr>
            </w:pPr>
          </w:p>
          <w:p>
            <w:pPr>
              <w:pStyle w:val="TableParagraph"/>
              <w:spacing w:before="2"/>
              <w:rPr>
                <w:rFonts w:ascii="Arial"/>
                <w:b/>
                <w:sz w:val="28"/>
              </w:rPr>
            </w:pPr>
          </w:p>
          <w:p>
            <w:pPr>
              <w:pStyle w:val="TableParagraph"/>
              <w:spacing w:before="1"/>
              <w:ind w:left="163" w:right="140"/>
              <w:jc w:val="center"/>
              <w:rPr>
                <w:sz w:val="20"/>
              </w:rPr>
            </w:pPr>
            <w:r>
              <w:rPr>
                <w:sz w:val="20"/>
              </w:rPr>
              <w:t>751</w:t>
            </w:r>
          </w:p>
        </w:tc>
        <w:tc>
          <w:tcPr>
            <w:tcW w:w="1281" w:type="dxa"/>
          </w:tcPr>
          <w:p>
            <w:pPr>
              <w:pStyle w:val="TableParagraph"/>
              <w:rPr>
                <w:rFonts w:ascii="Arial"/>
                <w:b/>
                <w:sz w:val="22"/>
              </w:rPr>
            </w:pPr>
          </w:p>
          <w:p>
            <w:pPr>
              <w:pStyle w:val="TableParagraph"/>
              <w:rPr>
                <w:rFonts w:ascii="Arial"/>
                <w:b/>
                <w:sz w:val="22"/>
              </w:rPr>
            </w:pPr>
          </w:p>
          <w:p>
            <w:pPr>
              <w:pStyle w:val="TableParagraph"/>
              <w:spacing w:before="2"/>
              <w:rPr>
                <w:rFonts w:ascii="Arial"/>
                <w:b/>
                <w:sz w:val="28"/>
              </w:rPr>
            </w:pPr>
          </w:p>
          <w:p>
            <w:pPr>
              <w:pStyle w:val="TableParagraph"/>
              <w:spacing w:before="1"/>
              <w:ind w:left="210"/>
              <w:rPr>
                <w:b/>
                <w:sz w:val="20"/>
              </w:rPr>
            </w:pPr>
            <w:r>
              <w:rPr>
                <w:b/>
                <w:w w:val="99"/>
                <w:sz w:val="20"/>
              </w:rPr>
              <w:t>*</w:t>
            </w:r>
          </w:p>
        </w:tc>
        <w:tc>
          <w:tcPr>
            <w:tcW w:w="5686" w:type="dxa"/>
          </w:tcPr>
          <w:p>
            <w:pPr>
              <w:pStyle w:val="TableParagraph"/>
              <w:spacing w:line="199" w:lineRule="auto" w:before="101"/>
              <w:ind w:left="971" w:right="529"/>
              <w:rPr>
                <w:b/>
                <w:sz w:val="20"/>
              </w:rPr>
            </w:pPr>
            <w:r>
              <w:rPr>
                <w:b/>
                <w:sz w:val="20"/>
                <w:u w:val="single"/>
              </w:rPr>
              <w:t>Item 51 – Machinery that incorporates or is</w:t>
            </w:r>
            <w:r>
              <w:rPr>
                <w:b/>
                <w:sz w:val="20"/>
              </w:rPr>
              <w:t> </w:t>
            </w:r>
            <w:r>
              <w:rPr>
                <w:b/>
                <w:sz w:val="20"/>
                <w:u w:val="single"/>
              </w:rPr>
              <w:t>imported with other goods which render the</w:t>
            </w:r>
            <w:r>
              <w:rPr>
                <w:b/>
                <w:sz w:val="20"/>
              </w:rPr>
              <w:t> </w:t>
            </w:r>
            <w:r>
              <w:rPr>
                <w:b/>
                <w:sz w:val="20"/>
                <w:u w:val="single"/>
              </w:rPr>
              <w:t>machinery ineligible for a tariff concession order</w:t>
            </w:r>
          </w:p>
          <w:p>
            <w:pPr>
              <w:pStyle w:val="TableParagraph"/>
              <w:spacing w:before="157"/>
              <w:ind w:left="971"/>
              <w:rPr>
                <w:b/>
                <w:sz w:val="20"/>
              </w:rPr>
            </w:pPr>
            <w:r>
              <w:rPr>
                <w:b/>
                <w:sz w:val="20"/>
              </w:rPr>
              <w:t>Goods, as prescribed by by-law, where:</w:t>
            </w:r>
          </w:p>
          <w:p>
            <w:pPr>
              <w:pStyle w:val="TableParagraph"/>
              <w:numPr>
                <w:ilvl w:val="0"/>
                <w:numId w:val="3"/>
              </w:numPr>
              <w:tabs>
                <w:tab w:pos="1255" w:val="left" w:leader="none"/>
              </w:tabs>
              <w:spacing w:line="240" w:lineRule="auto" w:before="149" w:after="0"/>
              <w:ind w:left="1254" w:right="0" w:hanging="284"/>
              <w:jc w:val="left"/>
              <w:rPr>
                <w:b/>
                <w:sz w:val="20"/>
              </w:rPr>
            </w:pPr>
            <w:r>
              <w:rPr>
                <w:b/>
                <w:sz w:val="20"/>
              </w:rPr>
              <w:t>the goods are machinery;</w:t>
            </w:r>
            <w:r>
              <w:rPr>
                <w:b/>
                <w:spacing w:val="-2"/>
                <w:sz w:val="20"/>
              </w:rPr>
              <w:t> </w:t>
            </w:r>
            <w:r>
              <w:rPr>
                <w:b/>
                <w:sz w:val="20"/>
              </w:rPr>
              <w:t>and</w:t>
            </w:r>
          </w:p>
          <w:p>
            <w:pPr>
              <w:pStyle w:val="TableParagraph"/>
              <w:numPr>
                <w:ilvl w:val="0"/>
                <w:numId w:val="3"/>
              </w:numPr>
              <w:tabs>
                <w:tab w:pos="1255" w:val="left" w:leader="none"/>
              </w:tabs>
              <w:spacing w:line="196" w:lineRule="auto" w:before="185" w:after="0"/>
              <w:ind w:left="1254" w:right="284" w:hanging="284"/>
              <w:jc w:val="left"/>
              <w:rPr>
                <w:b/>
                <w:sz w:val="20"/>
              </w:rPr>
            </w:pPr>
            <w:r>
              <w:rPr>
                <w:b/>
                <w:sz w:val="20"/>
              </w:rPr>
              <w:t>the machinery incorporates, or is imported with, other goods which makes the machinery not eligible for a tariff concession order</w:t>
            </w:r>
            <w:r>
              <w:rPr>
                <w:b/>
                <w:spacing w:val="-7"/>
                <w:sz w:val="20"/>
              </w:rPr>
              <w:t> </w:t>
            </w:r>
            <w:r>
              <w:rPr>
                <w:b/>
                <w:sz w:val="20"/>
              </w:rPr>
              <w:t>under</w:t>
            </w:r>
          </w:p>
          <w:p>
            <w:pPr>
              <w:pStyle w:val="TableParagraph"/>
              <w:spacing w:line="200" w:lineRule="exact"/>
              <w:ind w:left="1254"/>
              <w:rPr>
                <w:rFonts w:ascii="TimesNewRomanPS-BoldItalicMT"/>
                <w:b/>
                <w:i/>
                <w:sz w:val="20"/>
              </w:rPr>
            </w:pPr>
            <w:r>
              <w:rPr>
                <w:b/>
                <w:sz w:val="20"/>
              </w:rPr>
              <w:t>Part XVA of the </w:t>
            </w:r>
            <w:r>
              <w:rPr>
                <w:rFonts w:ascii="TimesNewRomanPS-BoldItalicMT"/>
                <w:b/>
                <w:i/>
                <w:sz w:val="20"/>
              </w:rPr>
              <w:t>Customs Act 1901</w:t>
            </w:r>
          </w:p>
        </w:tc>
        <w:tc>
          <w:tcPr>
            <w:tcW w:w="2110" w:type="dxa"/>
          </w:tcPr>
          <w:p>
            <w:pPr>
              <w:pStyle w:val="TableParagraph"/>
              <w:rPr>
                <w:rFonts w:ascii="Arial"/>
                <w:b/>
                <w:sz w:val="22"/>
              </w:rPr>
            </w:pPr>
          </w:p>
          <w:p>
            <w:pPr>
              <w:pStyle w:val="TableParagraph"/>
              <w:rPr>
                <w:rFonts w:ascii="Arial"/>
                <w:b/>
                <w:sz w:val="22"/>
              </w:rPr>
            </w:pPr>
          </w:p>
          <w:p>
            <w:pPr>
              <w:pStyle w:val="TableParagraph"/>
              <w:spacing w:before="2"/>
              <w:rPr>
                <w:rFonts w:ascii="Arial"/>
                <w:b/>
                <w:sz w:val="28"/>
              </w:rPr>
            </w:pPr>
          </w:p>
          <w:p>
            <w:pPr>
              <w:pStyle w:val="TableParagraph"/>
              <w:spacing w:before="1"/>
              <w:ind w:left="265"/>
              <w:rPr>
                <w:b/>
                <w:sz w:val="20"/>
              </w:rPr>
            </w:pPr>
            <w:r>
              <w:rPr>
                <w:b/>
                <w:sz w:val="20"/>
              </w:rPr>
              <w:t>Free</w:t>
            </w:r>
          </w:p>
        </w:tc>
      </w:tr>
      <w:tr>
        <w:trPr>
          <w:trHeight w:val="1682" w:hRule="atLeast"/>
        </w:trPr>
        <w:tc>
          <w:tcPr>
            <w:tcW w:w="504" w:type="dxa"/>
          </w:tcPr>
          <w:p>
            <w:pPr>
              <w:pStyle w:val="TableParagraph"/>
              <w:rPr>
                <w:sz w:val="20"/>
              </w:rPr>
            </w:pPr>
          </w:p>
        </w:tc>
        <w:tc>
          <w:tcPr>
            <w:tcW w:w="644" w:type="dxa"/>
          </w:tcPr>
          <w:p>
            <w:pPr>
              <w:pStyle w:val="TableParagraph"/>
              <w:rPr>
                <w:sz w:val="20"/>
              </w:rPr>
            </w:pPr>
          </w:p>
        </w:tc>
        <w:tc>
          <w:tcPr>
            <w:tcW w:w="1281" w:type="dxa"/>
          </w:tcPr>
          <w:p>
            <w:pPr>
              <w:pStyle w:val="TableParagraph"/>
              <w:rPr>
                <w:sz w:val="20"/>
              </w:rPr>
            </w:pPr>
          </w:p>
        </w:tc>
        <w:tc>
          <w:tcPr>
            <w:tcW w:w="5686" w:type="dxa"/>
          </w:tcPr>
          <w:p>
            <w:pPr>
              <w:pStyle w:val="TableParagraph"/>
              <w:rPr>
                <w:rFonts w:ascii="Arial"/>
                <w:b/>
                <w:sz w:val="22"/>
              </w:rPr>
            </w:pPr>
          </w:p>
          <w:p>
            <w:pPr>
              <w:pStyle w:val="TableParagraph"/>
              <w:spacing w:before="11"/>
              <w:rPr>
                <w:rFonts w:ascii="Arial"/>
                <w:b/>
                <w:sz w:val="24"/>
              </w:rPr>
            </w:pPr>
          </w:p>
          <w:p>
            <w:pPr>
              <w:pStyle w:val="TableParagraph"/>
              <w:spacing w:line="206" w:lineRule="exact"/>
              <w:ind w:left="981"/>
              <w:rPr>
                <w:sz w:val="20"/>
              </w:rPr>
            </w:pPr>
            <w:r>
              <w:rPr>
                <w:sz w:val="20"/>
              </w:rPr>
              <w:t>† Treatment Code 509 has been allocated to</w:t>
            </w:r>
          </w:p>
          <w:p>
            <w:pPr>
              <w:pStyle w:val="TableParagraph"/>
              <w:spacing w:line="189" w:lineRule="auto" w:before="16"/>
              <w:ind w:left="1264" w:right="270"/>
              <w:rPr>
                <w:sz w:val="20"/>
              </w:rPr>
            </w:pPr>
            <w:r>
              <w:rPr>
                <w:sz w:val="20"/>
              </w:rPr>
              <w:t>item 50(c)(i). There is a requirement to show on an Import Declaration a current tariff concession order and a by-law or allocated determination. At this time, no by-laws or determinations have been</w:t>
            </w:r>
          </w:p>
          <w:p>
            <w:pPr>
              <w:pStyle w:val="TableParagraph"/>
              <w:spacing w:line="174" w:lineRule="exact"/>
              <w:ind w:left="1264"/>
              <w:rPr>
                <w:sz w:val="20"/>
              </w:rPr>
            </w:pPr>
            <w:r>
              <w:rPr>
                <w:sz w:val="20"/>
              </w:rPr>
              <w:t>issued for this item.</w:t>
            </w:r>
          </w:p>
        </w:tc>
        <w:tc>
          <w:tcPr>
            <w:tcW w:w="2110" w:type="dxa"/>
          </w:tcPr>
          <w:p>
            <w:pPr>
              <w:pStyle w:val="TableParagraph"/>
              <w:rPr>
                <w:sz w:val="20"/>
              </w:rPr>
            </w:pPr>
          </w:p>
        </w:tc>
      </w:tr>
    </w:tbl>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11"/>
        <w:rPr>
          <w:rFonts w:ascii="Arial"/>
          <w:sz w:val="11"/>
        </w:rPr>
      </w:pPr>
      <w:r>
        <w:rPr/>
        <w:pict>
          <v:rect style="position:absolute;margin-left:72.839996pt;margin-top:8.835677pt;width:489.001pt;height:.481pt;mso-position-horizontal-relative:page;mso-position-vertical-relative:paragraph;z-index:-15727616;mso-wrap-distance-left:0;mso-wrap-distance-right:0" filled="true" fillcolor="#000000" stroked="false">
            <v:fill type="solid"/>
            <w10:wrap type="topAndBottom"/>
          </v:rect>
        </w:pict>
      </w:r>
    </w:p>
    <w:p>
      <w:pPr>
        <w:pStyle w:val="BodyText"/>
        <w:tabs>
          <w:tab w:pos="10543" w:val="left" w:leader="none"/>
        </w:tabs>
        <w:spacing w:line="211" w:lineRule="auto" w:before="27"/>
        <w:ind w:left="1564" w:right="813"/>
      </w:pPr>
      <w:r>
        <w:rPr/>
        <w:t>* Enter under tariff classification and statistical key requirements in</w:t>
      </w:r>
      <w:r>
        <w:rPr>
          <w:spacing w:val="12"/>
        </w:rPr>
        <w:t> </w:t>
      </w:r>
      <w:r>
        <w:rPr/>
        <w:t>Schedule</w:t>
      </w:r>
      <w:r>
        <w:rPr>
          <w:spacing w:val="-1"/>
        </w:rPr>
        <w:t> </w:t>
      </w:r>
      <w:r>
        <w:rPr/>
        <w:t>3.</w:t>
        <w:tab/>
      </w:r>
      <w:r>
        <w:rPr>
          <w:spacing w:val="-3"/>
        </w:rPr>
        <w:t>15/1/15 </w:t>
      </w:r>
      <w:r>
        <w:rPr/>
        <w:t># Unless otherwise indicated NZ, PG, FI, DC, LDC and SG rates are</w:t>
      </w:r>
      <w:r>
        <w:rPr>
          <w:spacing w:val="2"/>
        </w:rPr>
        <w:t> </w:t>
      </w:r>
      <w:r>
        <w:rPr/>
        <w:t>Free.</w:t>
      </w:r>
    </w:p>
    <w:p>
      <w:pPr>
        <w:pStyle w:val="BodyText"/>
        <w:spacing w:line="190" w:lineRule="exact"/>
        <w:ind w:left="1706"/>
      </w:pPr>
      <w:r>
        <w:rPr/>
        <w:t>Unless otherwise indicated general rate applies for CA.</w:t>
      </w:r>
    </w:p>
    <w:p>
      <w:pPr>
        <w:pStyle w:val="BodyText"/>
        <w:spacing w:line="211" w:lineRule="auto" w:before="8"/>
        <w:ind w:left="1706" w:right="1151"/>
      </w:pPr>
      <w:r>
        <w:rPr/>
        <w:t>Unless otherwise indicated rates for US, Thai, Chilean, AANZ, Malaysian, Korean, Japanese and Chinese originating goods are Free.</w:t>
      </w:r>
    </w:p>
    <w:p>
      <w:pPr>
        <w:pStyle w:val="BodyText"/>
        <w:spacing w:line="208" w:lineRule="auto"/>
        <w:ind w:left="1706" w:right="3412"/>
      </w:pPr>
      <w:r>
        <w:rPr/>
        <w:t>DCS denotes the rate for countries and places listed in Part 4 of Schedule 1 to this Act. DCT denotes the rate for HK, KR, SG and TW.</w:t>
      </w:r>
    </w:p>
    <w:p>
      <w:pPr>
        <w:pStyle w:val="BodyText"/>
        <w:spacing w:line="207" w:lineRule="exact"/>
        <w:ind w:left="1706"/>
      </w:pPr>
      <w:r>
        <w:rPr/>
        <w:t>If no DCT rate shown, DCS rate applies. If no DCT or DCS rate shown, general rate applies.</w:t>
      </w:r>
    </w:p>
    <w:p>
      <w:pPr>
        <w:spacing w:after="0" w:line="207" w:lineRule="exact"/>
        <w:sectPr>
          <w:pgSz w:w="11910" w:h="16840"/>
          <w:pgMar w:top="680" w:bottom="280" w:left="0" w:right="0"/>
        </w:sectPr>
      </w:pPr>
    </w:p>
    <w:p>
      <w:pPr>
        <w:spacing w:line="348" w:lineRule="auto" w:before="78"/>
        <w:ind w:left="5287" w:right="4500" w:firstLine="0"/>
        <w:jc w:val="center"/>
        <w:rPr>
          <w:rFonts w:ascii="Arial"/>
          <w:b/>
          <w:sz w:val="24"/>
        </w:rPr>
      </w:pPr>
      <w:r>
        <w:rPr>
          <w:rFonts w:ascii="Arial"/>
          <w:b/>
          <w:sz w:val="24"/>
        </w:rPr>
        <w:t>CUSTOMS TARIFF SCHEDULE 4</w:t>
      </w:r>
    </w:p>
    <w:p>
      <w:pPr>
        <w:spacing w:line="275" w:lineRule="exact" w:before="0"/>
        <w:ind w:left="3437" w:right="2649" w:firstLine="0"/>
        <w:jc w:val="center"/>
        <w:rPr>
          <w:rFonts w:ascii="Arial"/>
          <w:b/>
          <w:sz w:val="24"/>
        </w:rPr>
      </w:pPr>
      <w:r>
        <w:rPr>
          <w:rFonts w:ascii="Arial"/>
          <w:b/>
          <w:sz w:val="24"/>
        </w:rPr>
        <w:t>CONCESSIONAL RATES OF DUTY</w:t>
      </w:r>
    </w:p>
    <w:p>
      <w:pPr>
        <w:pStyle w:val="BodyText"/>
        <w:spacing w:before="3"/>
        <w:rPr>
          <w:rFonts w:ascii="Arial"/>
          <w:sz w:val="15"/>
        </w:rPr>
      </w:pPr>
    </w:p>
    <w:tbl>
      <w:tblPr>
        <w:tblW w:w="0" w:type="auto"/>
        <w:jc w:val="left"/>
        <w:tblInd w:w="1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0"/>
        <w:gridCol w:w="745"/>
        <w:gridCol w:w="1204"/>
        <w:gridCol w:w="5677"/>
        <w:gridCol w:w="1789"/>
      </w:tblGrid>
      <w:tr>
        <w:trPr>
          <w:trHeight w:val="220" w:hRule="atLeast"/>
        </w:trPr>
        <w:tc>
          <w:tcPr>
            <w:tcW w:w="1235" w:type="dxa"/>
            <w:gridSpan w:val="2"/>
            <w:tcBorders>
              <w:bottom w:val="single" w:sz="6" w:space="0" w:color="000000"/>
            </w:tcBorders>
          </w:tcPr>
          <w:p>
            <w:pPr>
              <w:pStyle w:val="TableParagraph"/>
              <w:spacing w:line="192" w:lineRule="exact"/>
              <w:ind w:left="158" w:right="-29"/>
              <w:rPr>
                <w:rFonts w:ascii="Arial Narrow"/>
                <w:b/>
                <w:sz w:val="20"/>
              </w:rPr>
            </w:pPr>
            <w:r>
              <w:rPr>
                <w:rFonts w:ascii="Arial Narrow"/>
                <w:b/>
                <w:sz w:val="20"/>
              </w:rPr>
              <w:t>Schedule</w:t>
            </w:r>
            <w:r>
              <w:rPr>
                <w:rFonts w:ascii="Arial Narrow"/>
                <w:b/>
                <w:spacing w:val="-2"/>
                <w:sz w:val="20"/>
              </w:rPr>
              <w:t> </w:t>
            </w:r>
            <w:r>
              <w:rPr>
                <w:rFonts w:ascii="Arial Narrow"/>
                <w:b/>
                <w:sz w:val="20"/>
              </w:rPr>
              <w:t>4/22</w:t>
            </w:r>
          </w:p>
        </w:tc>
        <w:tc>
          <w:tcPr>
            <w:tcW w:w="6881" w:type="dxa"/>
            <w:gridSpan w:val="2"/>
            <w:tcBorders>
              <w:bottom w:val="single" w:sz="6" w:space="0" w:color="000000"/>
            </w:tcBorders>
          </w:tcPr>
          <w:p>
            <w:pPr>
              <w:pStyle w:val="TableParagraph"/>
              <w:rPr>
                <w:sz w:val="14"/>
              </w:rPr>
            </w:pPr>
          </w:p>
        </w:tc>
        <w:tc>
          <w:tcPr>
            <w:tcW w:w="1789" w:type="dxa"/>
            <w:tcBorders>
              <w:bottom w:val="single" w:sz="6" w:space="0" w:color="000000"/>
            </w:tcBorders>
          </w:tcPr>
          <w:p>
            <w:pPr>
              <w:pStyle w:val="TableParagraph"/>
              <w:spacing w:line="192" w:lineRule="exact"/>
              <w:ind w:left="353"/>
              <w:rPr>
                <w:rFonts w:ascii="Arial Narrow"/>
                <w:b/>
                <w:sz w:val="20"/>
              </w:rPr>
            </w:pPr>
            <w:r>
              <w:rPr>
                <w:rFonts w:ascii="Arial Narrow"/>
                <w:b/>
                <w:sz w:val="20"/>
              </w:rPr>
              <w:t>Schedule 4/23</w:t>
            </w:r>
          </w:p>
        </w:tc>
      </w:tr>
      <w:tr>
        <w:trPr>
          <w:trHeight w:val="1752" w:hRule="atLeast"/>
        </w:trPr>
        <w:tc>
          <w:tcPr>
            <w:tcW w:w="1235" w:type="dxa"/>
            <w:gridSpan w:val="2"/>
            <w:tcBorders>
              <w:top w:val="single" w:sz="6" w:space="0" w:color="000000"/>
            </w:tcBorders>
          </w:tcPr>
          <w:p>
            <w:pPr>
              <w:pStyle w:val="TableParagraph"/>
              <w:tabs>
                <w:tab w:pos="674" w:val="left" w:leader="none"/>
              </w:tabs>
              <w:spacing w:before="58"/>
              <w:ind w:left="674" w:right="103" w:hanging="567"/>
              <w:rPr>
                <w:rFonts w:ascii="Arial Narrow"/>
                <w:b/>
                <w:sz w:val="20"/>
              </w:rPr>
            </w:pPr>
            <w:r>
              <w:rPr>
                <w:rFonts w:ascii="Arial Narrow"/>
                <w:b/>
                <w:sz w:val="20"/>
              </w:rPr>
              <w:t>Item</w:t>
              <w:tab/>
              <w:t>Treat- ment</w:t>
            </w:r>
          </w:p>
          <w:p>
            <w:pPr>
              <w:pStyle w:val="TableParagraph"/>
              <w:tabs>
                <w:tab w:pos="674" w:val="left" w:leader="none"/>
                <w:tab w:pos="1384" w:val="left" w:leader="none"/>
              </w:tabs>
              <w:spacing w:before="3"/>
              <w:ind w:left="-15" w:right="-159"/>
              <w:rPr>
                <w:rFonts w:ascii="Arial Narrow"/>
                <w:b/>
                <w:sz w:val="20"/>
              </w:rPr>
            </w:pPr>
            <w:r>
              <w:rPr>
                <w:rFonts w:ascii="Arial Narrow"/>
                <w:b/>
                <w:w w:val="99"/>
                <w:sz w:val="20"/>
                <w:u w:val="single"/>
              </w:rPr>
              <w:t> </w:t>
            </w:r>
            <w:r>
              <w:rPr>
                <w:rFonts w:ascii="Arial Narrow"/>
                <w:b/>
                <w:sz w:val="20"/>
                <w:u w:val="single"/>
              </w:rPr>
              <w:tab/>
              <w:t>Code</w:t>
              <w:tab/>
            </w:r>
          </w:p>
        </w:tc>
        <w:tc>
          <w:tcPr>
            <w:tcW w:w="6881" w:type="dxa"/>
            <w:gridSpan w:val="2"/>
            <w:tcBorders>
              <w:top w:val="single" w:sz="6" w:space="0" w:color="000000"/>
            </w:tcBorders>
          </w:tcPr>
          <w:p>
            <w:pPr>
              <w:pStyle w:val="TableParagraph"/>
              <w:tabs>
                <w:tab w:pos="1140" w:val="left" w:leader="none"/>
              </w:tabs>
              <w:spacing w:before="58"/>
              <w:ind w:left="149"/>
              <w:rPr>
                <w:rFonts w:ascii="Arial Narrow"/>
                <w:b/>
                <w:sz w:val="20"/>
              </w:rPr>
            </w:pPr>
            <w:r>
              <w:rPr>
                <w:rFonts w:ascii="Arial Narrow"/>
                <w:b/>
                <w:sz w:val="20"/>
              </w:rPr>
              <w:t>Refer-</w:t>
              <w:tab/>
              <w:t>Statistical</w:t>
            </w:r>
          </w:p>
          <w:p>
            <w:pPr>
              <w:pStyle w:val="TableParagraph"/>
              <w:tabs>
                <w:tab w:pos="1140" w:val="left" w:leader="none"/>
                <w:tab w:pos="3761" w:val="left" w:leader="none"/>
              </w:tabs>
              <w:spacing w:before="2"/>
              <w:ind w:left="149"/>
              <w:rPr>
                <w:rFonts w:ascii="Arial Narrow"/>
                <w:b/>
                <w:sz w:val="20"/>
              </w:rPr>
            </w:pPr>
            <w:r>
              <w:rPr>
                <w:rFonts w:ascii="Arial Narrow"/>
                <w:b/>
                <w:sz w:val="20"/>
              </w:rPr>
              <w:t>ence</w:t>
              <w:tab/>
              <w:t>Code/Unit</w:t>
              <w:tab/>
              <w:t>Description of Goods</w:t>
            </w:r>
          </w:p>
          <w:p>
            <w:pPr>
              <w:pStyle w:val="TableParagraph"/>
              <w:tabs>
                <w:tab w:pos="1140" w:val="left" w:leader="none"/>
                <w:tab w:pos="8355" w:val="left" w:leader="none"/>
              </w:tabs>
              <w:spacing w:before="1"/>
              <w:ind w:left="149" w:right="-1484"/>
              <w:rPr>
                <w:rFonts w:ascii="Arial Narrow"/>
                <w:b/>
                <w:sz w:val="20"/>
              </w:rPr>
            </w:pPr>
            <w:r>
              <w:rPr>
                <w:rFonts w:ascii="Arial Narrow"/>
                <w:b/>
                <w:sz w:val="20"/>
                <w:u w:val="single"/>
              </w:rPr>
              <w:t>Number</w:t>
              <w:tab/>
              <w:t>of</w:t>
            </w:r>
            <w:r>
              <w:rPr>
                <w:rFonts w:ascii="Arial Narrow"/>
                <w:b/>
                <w:spacing w:val="-1"/>
                <w:sz w:val="20"/>
                <w:u w:val="single"/>
              </w:rPr>
              <w:t> </w:t>
            </w:r>
            <w:r>
              <w:rPr>
                <w:rFonts w:ascii="Arial Narrow"/>
                <w:b/>
                <w:sz w:val="20"/>
                <w:u w:val="single"/>
              </w:rPr>
              <w:t>Quantity</w:t>
              <w:tab/>
            </w:r>
          </w:p>
          <w:p>
            <w:pPr>
              <w:pStyle w:val="TableParagraph"/>
              <w:rPr>
                <w:rFonts w:ascii="Arial"/>
                <w:b/>
                <w:sz w:val="22"/>
              </w:rPr>
            </w:pPr>
          </w:p>
          <w:p>
            <w:pPr>
              <w:pStyle w:val="TableParagraph"/>
              <w:spacing w:line="208" w:lineRule="auto" w:before="168"/>
              <w:ind w:left="2151" w:right="1417"/>
              <w:rPr>
                <w:b/>
                <w:sz w:val="24"/>
              </w:rPr>
            </w:pPr>
            <w:r>
              <w:rPr>
                <w:b/>
                <w:sz w:val="24"/>
                <w:u w:val="thick"/>
              </w:rPr>
              <w:t>Goods exempt from the Product</w:t>
            </w:r>
            <w:r>
              <w:rPr>
                <w:b/>
                <w:sz w:val="24"/>
              </w:rPr>
              <w:t> </w:t>
            </w:r>
            <w:r>
              <w:rPr>
                <w:b/>
                <w:sz w:val="24"/>
                <w:u w:val="thick"/>
              </w:rPr>
              <w:t>Stewardship Oil Levy</w:t>
            </w:r>
          </w:p>
        </w:tc>
        <w:tc>
          <w:tcPr>
            <w:tcW w:w="1789" w:type="dxa"/>
            <w:tcBorders>
              <w:top w:val="single" w:sz="6" w:space="0" w:color="000000"/>
            </w:tcBorders>
          </w:tcPr>
          <w:p>
            <w:pPr>
              <w:pStyle w:val="TableParagraph"/>
              <w:rPr>
                <w:rFonts w:ascii="Arial"/>
                <w:b/>
                <w:sz w:val="25"/>
              </w:rPr>
            </w:pPr>
          </w:p>
          <w:p>
            <w:pPr>
              <w:pStyle w:val="TableParagraph"/>
              <w:spacing w:before="1"/>
              <w:ind w:left="250"/>
              <w:rPr>
                <w:rFonts w:ascii="Arial Narrow"/>
                <w:b/>
                <w:sz w:val="20"/>
              </w:rPr>
            </w:pPr>
            <w:r>
              <w:rPr>
                <w:rFonts w:ascii="Arial Narrow"/>
                <w:b/>
                <w:sz w:val="20"/>
              </w:rPr>
              <w:t>Rate #</w:t>
            </w:r>
          </w:p>
        </w:tc>
      </w:tr>
      <w:tr>
        <w:trPr>
          <w:trHeight w:val="1260" w:hRule="atLeast"/>
        </w:trPr>
        <w:tc>
          <w:tcPr>
            <w:tcW w:w="490" w:type="dxa"/>
          </w:tcPr>
          <w:p>
            <w:pPr>
              <w:pStyle w:val="TableParagraph"/>
              <w:rPr>
                <w:rFonts w:ascii="Arial"/>
                <w:b/>
                <w:sz w:val="22"/>
              </w:rPr>
            </w:pPr>
          </w:p>
          <w:p>
            <w:pPr>
              <w:pStyle w:val="TableParagraph"/>
              <w:rPr>
                <w:rFonts w:ascii="Arial"/>
                <w:b/>
                <w:sz w:val="22"/>
              </w:rPr>
            </w:pPr>
          </w:p>
          <w:p>
            <w:pPr>
              <w:pStyle w:val="TableParagraph"/>
              <w:spacing w:before="159"/>
              <w:ind w:left="105"/>
              <w:rPr>
                <w:b/>
                <w:sz w:val="20"/>
              </w:rPr>
            </w:pPr>
            <w:r>
              <w:rPr>
                <w:b/>
                <w:sz w:val="20"/>
              </w:rPr>
              <w:t>52</w:t>
            </w:r>
          </w:p>
        </w:tc>
        <w:tc>
          <w:tcPr>
            <w:tcW w:w="745" w:type="dxa"/>
          </w:tcPr>
          <w:p>
            <w:pPr>
              <w:pStyle w:val="TableParagraph"/>
              <w:rPr>
                <w:rFonts w:ascii="Arial"/>
                <w:b/>
                <w:sz w:val="22"/>
              </w:rPr>
            </w:pPr>
          </w:p>
          <w:p>
            <w:pPr>
              <w:pStyle w:val="TableParagraph"/>
              <w:rPr>
                <w:rFonts w:ascii="Arial"/>
                <w:b/>
                <w:sz w:val="22"/>
              </w:rPr>
            </w:pPr>
          </w:p>
          <w:p>
            <w:pPr>
              <w:pStyle w:val="TableParagraph"/>
              <w:spacing w:before="159"/>
              <w:ind w:left="182"/>
              <w:rPr>
                <w:sz w:val="20"/>
              </w:rPr>
            </w:pPr>
            <w:r>
              <w:rPr>
                <w:sz w:val="20"/>
              </w:rPr>
              <w:t>952</w:t>
            </w:r>
          </w:p>
        </w:tc>
        <w:tc>
          <w:tcPr>
            <w:tcW w:w="1204" w:type="dxa"/>
          </w:tcPr>
          <w:p>
            <w:pPr>
              <w:pStyle w:val="TableParagraph"/>
              <w:rPr>
                <w:rFonts w:ascii="Arial"/>
                <w:b/>
                <w:sz w:val="22"/>
              </w:rPr>
            </w:pPr>
          </w:p>
          <w:p>
            <w:pPr>
              <w:pStyle w:val="TableParagraph"/>
              <w:rPr>
                <w:rFonts w:ascii="Arial"/>
                <w:b/>
                <w:sz w:val="22"/>
              </w:rPr>
            </w:pPr>
          </w:p>
          <w:p>
            <w:pPr>
              <w:pStyle w:val="TableParagraph"/>
              <w:spacing w:before="159"/>
              <w:ind w:left="108"/>
              <w:rPr>
                <w:sz w:val="20"/>
              </w:rPr>
            </w:pPr>
            <w:r>
              <w:rPr>
                <w:w w:val="99"/>
                <w:sz w:val="20"/>
              </w:rPr>
              <w:t>*</w:t>
            </w:r>
          </w:p>
        </w:tc>
        <w:tc>
          <w:tcPr>
            <w:tcW w:w="5677" w:type="dxa"/>
          </w:tcPr>
          <w:p>
            <w:pPr>
              <w:pStyle w:val="TableParagraph"/>
              <w:spacing w:line="196" w:lineRule="auto" w:before="130"/>
              <w:ind w:left="947" w:right="238"/>
              <w:rPr>
                <w:b/>
                <w:sz w:val="20"/>
              </w:rPr>
            </w:pPr>
            <w:r>
              <w:rPr>
                <w:b/>
                <w:sz w:val="20"/>
                <w:u w:val="single"/>
              </w:rPr>
              <w:t>Item 52 – Mineral and aromatic process oils that are</w:t>
            </w:r>
            <w:r>
              <w:rPr>
                <w:b/>
                <w:sz w:val="20"/>
              </w:rPr>
              <w:t> </w:t>
            </w:r>
            <w:r>
              <w:rPr>
                <w:b/>
                <w:sz w:val="20"/>
                <w:u w:val="single"/>
              </w:rPr>
              <w:t>exempt from the Product Stewardship Oil</w:t>
            </w:r>
            <w:r>
              <w:rPr>
                <w:b/>
                <w:spacing w:val="-8"/>
                <w:sz w:val="20"/>
                <w:u w:val="single"/>
              </w:rPr>
              <w:t> </w:t>
            </w:r>
            <w:r>
              <w:rPr>
                <w:b/>
                <w:sz w:val="20"/>
                <w:u w:val="single"/>
              </w:rPr>
              <w:t>Levy</w:t>
            </w:r>
          </w:p>
          <w:p>
            <w:pPr>
              <w:pStyle w:val="TableParagraph"/>
              <w:spacing w:line="196" w:lineRule="auto" w:before="192"/>
              <w:ind w:left="947" w:right="437"/>
              <w:rPr>
                <w:b/>
                <w:sz w:val="20"/>
              </w:rPr>
            </w:pPr>
            <w:r>
              <w:rPr>
                <w:b/>
                <w:sz w:val="20"/>
              </w:rPr>
              <w:t>Goods, as prescribed by by-law, that are classified under heading 2710, 3403 or 3811 of Schedule</w:t>
            </w:r>
            <w:r>
              <w:rPr>
                <w:b/>
                <w:spacing w:val="-10"/>
                <w:sz w:val="20"/>
              </w:rPr>
              <w:t> </w:t>
            </w:r>
            <w:r>
              <w:rPr>
                <w:b/>
                <w:sz w:val="20"/>
              </w:rPr>
              <w:t>3</w:t>
            </w:r>
          </w:p>
        </w:tc>
        <w:tc>
          <w:tcPr>
            <w:tcW w:w="1789" w:type="dxa"/>
          </w:tcPr>
          <w:p>
            <w:pPr>
              <w:pStyle w:val="TableParagraph"/>
              <w:rPr>
                <w:rFonts w:ascii="Arial"/>
                <w:b/>
                <w:sz w:val="22"/>
              </w:rPr>
            </w:pPr>
          </w:p>
          <w:p>
            <w:pPr>
              <w:pStyle w:val="TableParagraph"/>
              <w:rPr>
                <w:rFonts w:ascii="Arial"/>
                <w:b/>
                <w:sz w:val="22"/>
              </w:rPr>
            </w:pPr>
          </w:p>
          <w:p>
            <w:pPr>
              <w:pStyle w:val="TableParagraph"/>
              <w:spacing w:before="159"/>
              <w:ind w:left="252"/>
              <w:rPr>
                <w:b/>
                <w:sz w:val="20"/>
              </w:rPr>
            </w:pPr>
            <w:r>
              <w:rPr>
                <w:b/>
                <w:sz w:val="20"/>
              </w:rPr>
              <w:t>Free</w:t>
            </w:r>
          </w:p>
        </w:tc>
      </w:tr>
      <w:tr>
        <w:trPr>
          <w:trHeight w:val="2756" w:hRule="atLeast"/>
        </w:trPr>
        <w:tc>
          <w:tcPr>
            <w:tcW w:w="490" w:type="dxa"/>
          </w:tcPr>
          <w:p>
            <w:pPr>
              <w:pStyle w:val="TableParagraph"/>
              <w:rPr>
                <w:rFonts w:ascii="Arial"/>
                <w:b/>
                <w:sz w:val="22"/>
              </w:rPr>
            </w:pPr>
          </w:p>
          <w:p>
            <w:pPr>
              <w:pStyle w:val="TableParagraph"/>
              <w:rPr>
                <w:rFonts w:ascii="Arial"/>
                <w:b/>
                <w:sz w:val="22"/>
              </w:rPr>
            </w:pPr>
          </w:p>
          <w:p>
            <w:pPr>
              <w:pStyle w:val="TableParagraph"/>
              <w:spacing w:before="10"/>
              <w:rPr>
                <w:rFonts w:ascii="Arial"/>
                <w:b/>
                <w:sz w:val="19"/>
              </w:rPr>
            </w:pPr>
          </w:p>
          <w:p>
            <w:pPr>
              <w:pStyle w:val="TableParagraph"/>
              <w:ind w:left="105"/>
              <w:rPr>
                <w:b/>
                <w:sz w:val="20"/>
              </w:rPr>
            </w:pPr>
            <w:r>
              <w:rPr>
                <w:b/>
                <w:sz w:val="20"/>
              </w:rPr>
              <w:t>53</w:t>
            </w:r>
          </w:p>
        </w:tc>
        <w:tc>
          <w:tcPr>
            <w:tcW w:w="745" w:type="dxa"/>
          </w:tcPr>
          <w:p>
            <w:pPr>
              <w:pStyle w:val="TableParagraph"/>
              <w:rPr>
                <w:rFonts w:ascii="Arial"/>
                <w:b/>
                <w:sz w:val="22"/>
              </w:rPr>
            </w:pPr>
          </w:p>
          <w:p>
            <w:pPr>
              <w:pStyle w:val="TableParagraph"/>
              <w:rPr>
                <w:rFonts w:ascii="Arial"/>
                <w:b/>
                <w:sz w:val="22"/>
              </w:rPr>
            </w:pPr>
          </w:p>
          <w:p>
            <w:pPr>
              <w:pStyle w:val="TableParagraph"/>
              <w:spacing w:before="10"/>
              <w:rPr>
                <w:rFonts w:ascii="Arial"/>
                <w:b/>
                <w:sz w:val="19"/>
              </w:rPr>
            </w:pPr>
          </w:p>
          <w:p>
            <w:pPr>
              <w:pStyle w:val="TableParagraph"/>
              <w:ind w:left="182"/>
              <w:rPr>
                <w:sz w:val="20"/>
              </w:rPr>
            </w:pPr>
            <w:r>
              <w:rPr>
                <w:sz w:val="20"/>
              </w:rPr>
              <w:t>953</w:t>
            </w:r>
          </w:p>
        </w:tc>
        <w:tc>
          <w:tcPr>
            <w:tcW w:w="1204" w:type="dxa"/>
          </w:tcPr>
          <w:p>
            <w:pPr>
              <w:pStyle w:val="TableParagraph"/>
              <w:rPr>
                <w:rFonts w:ascii="Arial"/>
                <w:b/>
                <w:sz w:val="22"/>
              </w:rPr>
            </w:pPr>
          </w:p>
          <w:p>
            <w:pPr>
              <w:pStyle w:val="TableParagraph"/>
              <w:rPr>
                <w:rFonts w:ascii="Arial"/>
                <w:b/>
                <w:sz w:val="22"/>
              </w:rPr>
            </w:pPr>
          </w:p>
          <w:p>
            <w:pPr>
              <w:pStyle w:val="TableParagraph"/>
              <w:spacing w:before="10"/>
              <w:rPr>
                <w:rFonts w:ascii="Arial"/>
                <w:b/>
                <w:sz w:val="19"/>
              </w:rPr>
            </w:pPr>
          </w:p>
          <w:p>
            <w:pPr>
              <w:pStyle w:val="TableParagraph"/>
              <w:ind w:left="108"/>
              <w:rPr>
                <w:sz w:val="20"/>
              </w:rPr>
            </w:pPr>
            <w:r>
              <w:rPr>
                <w:w w:val="99"/>
                <w:sz w:val="20"/>
              </w:rPr>
              <w:t>*</w:t>
            </w:r>
          </w:p>
        </w:tc>
        <w:tc>
          <w:tcPr>
            <w:tcW w:w="5677" w:type="dxa"/>
          </w:tcPr>
          <w:p>
            <w:pPr>
              <w:pStyle w:val="TableParagraph"/>
              <w:spacing w:before="4"/>
              <w:rPr>
                <w:rFonts w:ascii="Arial"/>
                <w:b/>
                <w:sz w:val="17"/>
              </w:rPr>
            </w:pPr>
          </w:p>
          <w:p>
            <w:pPr>
              <w:pStyle w:val="TableParagraph"/>
              <w:spacing w:line="196" w:lineRule="auto"/>
              <w:ind w:left="947" w:right="238"/>
              <w:rPr>
                <w:b/>
                <w:sz w:val="20"/>
              </w:rPr>
            </w:pPr>
            <w:r>
              <w:rPr>
                <w:b/>
                <w:sz w:val="20"/>
                <w:u w:val="single"/>
              </w:rPr>
              <w:t>Item 53 – Polyglycol brake fluids that are exempt</w:t>
            </w:r>
            <w:r>
              <w:rPr>
                <w:b/>
                <w:sz w:val="20"/>
              </w:rPr>
              <w:t> </w:t>
            </w:r>
            <w:r>
              <w:rPr>
                <w:b/>
                <w:sz w:val="20"/>
                <w:u w:val="single"/>
              </w:rPr>
              <w:t>from the Product Stewardship Oil Levy</w:t>
            </w:r>
          </w:p>
          <w:p>
            <w:pPr>
              <w:pStyle w:val="TableParagraph"/>
              <w:spacing w:before="158"/>
              <w:ind w:left="947"/>
              <w:rPr>
                <w:b/>
                <w:sz w:val="20"/>
              </w:rPr>
            </w:pPr>
            <w:r>
              <w:rPr>
                <w:b/>
                <w:sz w:val="20"/>
              </w:rPr>
              <w:t>Goods:</w:t>
            </w:r>
          </w:p>
          <w:p>
            <w:pPr>
              <w:pStyle w:val="TableParagraph"/>
              <w:numPr>
                <w:ilvl w:val="0"/>
                <w:numId w:val="4"/>
              </w:numPr>
              <w:tabs>
                <w:tab w:pos="1231" w:val="left" w:leader="none"/>
              </w:tabs>
              <w:spacing w:line="196" w:lineRule="auto" w:before="185" w:after="0"/>
              <w:ind w:left="1230" w:right="258" w:hanging="283"/>
              <w:jc w:val="left"/>
              <w:rPr>
                <w:b/>
                <w:sz w:val="20"/>
              </w:rPr>
            </w:pPr>
            <w:r>
              <w:rPr>
                <w:b/>
                <w:sz w:val="20"/>
              </w:rPr>
              <w:t>as prescribed by by-law, that are classified</w:t>
            </w:r>
            <w:r>
              <w:rPr>
                <w:b/>
                <w:spacing w:val="-25"/>
                <w:sz w:val="20"/>
              </w:rPr>
              <w:t> </w:t>
            </w:r>
            <w:r>
              <w:rPr>
                <w:b/>
                <w:sz w:val="20"/>
              </w:rPr>
              <w:t>under heading 3819.00.00 of Schedule 3;</w:t>
            </w:r>
            <w:r>
              <w:rPr>
                <w:b/>
                <w:spacing w:val="-2"/>
                <w:sz w:val="20"/>
              </w:rPr>
              <w:t> </w:t>
            </w:r>
            <w:r>
              <w:rPr>
                <w:b/>
                <w:sz w:val="20"/>
              </w:rPr>
              <w:t>and</w:t>
            </w:r>
          </w:p>
          <w:p>
            <w:pPr>
              <w:pStyle w:val="TableParagraph"/>
              <w:numPr>
                <w:ilvl w:val="0"/>
                <w:numId w:val="4"/>
              </w:numPr>
              <w:tabs>
                <w:tab w:pos="1231" w:val="left" w:leader="none"/>
              </w:tabs>
              <w:spacing w:line="196" w:lineRule="auto" w:before="192" w:after="0"/>
              <w:ind w:left="1230" w:right="872" w:hanging="284"/>
              <w:jc w:val="left"/>
              <w:rPr>
                <w:b/>
                <w:sz w:val="20"/>
              </w:rPr>
            </w:pPr>
            <w:r>
              <w:rPr>
                <w:b/>
                <w:sz w:val="20"/>
              </w:rPr>
              <w:t>that are not goods to which item 50 of this Schedule</w:t>
            </w:r>
            <w:r>
              <w:rPr>
                <w:b/>
                <w:spacing w:val="-1"/>
                <w:sz w:val="20"/>
              </w:rPr>
              <w:t> </w:t>
            </w:r>
            <w:r>
              <w:rPr>
                <w:b/>
                <w:sz w:val="20"/>
              </w:rPr>
              <w:t>applies</w:t>
            </w:r>
          </w:p>
        </w:tc>
        <w:tc>
          <w:tcPr>
            <w:tcW w:w="1789" w:type="dxa"/>
          </w:tcPr>
          <w:p>
            <w:pPr>
              <w:pStyle w:val="TableParagraph"/>
              <w:rPr>
                <w:rFonts w:ascii="Arial"/>
                <w:b/>
                <w:sz w:val="22"/>
              </w:rPr>
            </w:pPr>
          </w:p>
          <w:p>
            <w:pPr>
              <w:pStyle w:val="TableParagraph"/>
              <w:rPr>
                <w:rFonts w:ascii="Arial"/>
                <w:b/>
                <w:sz w:val="22"/>
              </w:rPr>
            </w:pPr>
          </w:p>
          <w:p>
            <w:pPr>
              <w:pStyle w:val="TableParagraph"/>
              <w:spacing w:before="7"/>
              <w:rPr>
                <w:rFonts w:ascii="Arial"/>
                <w:b/>
                <w:sz w:val="22"/>
              </w:rPr>
            </w:pPr>
          </w:p>
          <w:p>
            <w:pPr>
              <w:pStyle w:val="TableParagraph"/>
              <w:spacing w:line="199" w:lineRule="auto"/>
              <w:ind w:left="252" w:right="610"/>
              <w:rPr>
                <w:b/>
                <w:sz w:val="20"/>
              </w:rPr>
            </w:pPr>
            <w:r>
              <w:rPr>
                <w:b/>
                <w:sz w:val="20"/>
              </w:rPr>
              <w:t>5% US:5% TH:5% CL:5% </w:t>
            </w:r>
            <w:r>
              <w:rPr>
                <w:b/>
                <w:w w:val="95"/>
                <w:sz w:val="20"/>
              </w:rPr>
              <w:t>AANZ:5% </w:t>
            </w:r>
            <w:r>
              <w:rPr>
                <w:b/>
                <w:sz w:val="20"/>
              </w:rPr>
              <w:t>MY:5% KR:5% JP:5% CN:5% SG:5%</w:t>
            </w:r>
          </w:p>
        </w:tc>
      </w:tr>
      <w:tr>
        <w:trPr>
          <w:trHeight w:val="451" w:hRule="atLeast"/>
        </w:trPr>
        <w:tc>
          <w:tcPr>
            <w:tcW w:w="490" w:type="dxa"/>
          </w:tcPr>
          <w:p>
            <w:pPr>
              <w:pStyle w:val="TableParagraph"/>
              <w:rPr>
                <w:sz w:val="20"/>
              </w:rPr>
            </w:pPr>
          </w:p>
        </w:tc>
        <w:tc>
          <w:tcPr>
            <w:tcW w:w="745" w:type="dxa"/>
          </w:tcPr>
          <w:p>
            <w:pPr>
              <w:pStyle w:val="TableParagraph"/>
              <w:rPr>
                <w:sz w:val="20"/>
              </w:rPr>
            </w:pPr>
          </w:p>
        </w:tc>
        <w:tc>
          <w:tcPr>
            <w:tcW w:w="1204" w:type="dxa"/>
          </w:tcPr>
          <w:p>
            <w:pPr>
              <w:pStyle w:val="TableParagraph"/>
              <w:rPr>
                <w:sz w:val="20"/>
              </w:rPr>
            </w:pPr>
          </w:p>
        </w:tc>
        <w:tc>
          <w:tcPr>
            <w:tcW w:w="5677" w:type="dxa"/>
          </w:tcPr>
          <w:p>
            <w:pPr>
              <w:pStyle w:val="TableParagraph"/>
              <w:spacing w:before="70"/>
              <w:ind w:left="947"/>
              <w:rPr>
                <w:b/>
                <w:sz w:val="24"/>
              </w:rPr>
            </w:pPr>
            <w:r>
              <w:rPr>
                <w:b/>
                <w:sz w:val="24"/>
                <w:u w:val="thick"/>
              </w:rPr>
              <w:t>Miscellaneous goods</w:t>
            </w:r>
          </w:p>
        </w:tc>
        <w:tc>
          <w:tcPr>
            <w:tcW w:w="1789" w:type="dxa"/>
          </w:tcPr>
          <w:p>
            <w:pPr>
              <w:pStyle w:val="TableParagraph"/>
              <w:rPr>
                <w:sz w:val="20"/>
              </w:rPr>
            </w:pPr>
          </w:p>
        </w:tc>
      </w:tr>
      <w:tr>
        <w:trPr>
          <w:trHeight w:val="882" w:hRule="atLeast"/>
        </w:trPr>
        <w:tc>
          <w:tcPr>
            <w:tcW w:w="490" w:type="dxa"/>
          </w:tcPr>
          <w:p>
            <w:pPr>
              <w:pStyle w:val="TableParagraph"/>
              <w:rPr>
                <w:rFonts w:ascii="Arial"/>
                <w:b/>
                <w:sz w:val="22"/>
              </w:rPr>
            </w:pPr>
          </w:p>
          <w:p>
            <w:pPr>
              <w:pStyle w:val="TableParagraph"/>
              <w:spacing w:before="7"/>
              <w:rPr>
                <w:rFonts w:ascii="Arial"/>
                <w:b/>
                <w:sz w:val="19"/>
              </w:rPr>
            </w:pPr>
          </w:p>
          <w:p>
            <w:pPr>
              <w:pStyle w:val="TableParagraph"/>
              <w:ind w:left="105"/>
              <w:rPr>
                <w:b/>
                <w:sz w:val="20"/>
              </w:rPr>
            </w:pPr>
            <w:r>
              <w:rPr>
                <w:b/>
                <w:sz w:val="20"/>
              </w:rPr>
              <w:t>54</w:t>
            </w:r>
          </w:p>
        </w:tc>
        <w:tc>
          <w:tcPr>
            <w:tcW w:w="745" w:type="dxa"/>
          </w:tcPr>
          <w:p>
            <w:pPr>
              <w:pStyle w:val="TableParagraph"/>
              <w:rPr>
                <w:rFonts w:ascii="Arial"/>
                <w:b/>
                <w:sz w:val="22"/>
              </w:rPr>
            </w:pPr>
          </w:p>
          <w:p>
            <w:pPr>
              <w:pStyle w:val="TableParagraph"/>
              <w:spacing w:before="7"/>
              <w:rPr>
                <w:rFonts w:ascii="Arial"/>
                <w:b/>
                <w:sz w:val="19"/>
              </w:rPr>
            </w:pPr>
          </w:p>
          <w:p>
            <w:pPr>
              <w:pStyle w:val="TableParagraph"/>
              <w:ind w:left="182"/>
              <w:rPr>
                <w:sz w:val="20"/>
              </w:rPr>
            </w:pPr>
            <w:r>
              <w:rPr>
                <w:sz w:val="20"/>
              </w:rPr>
              <w:t>754</w:t>
            </w:r>
          </w:p>
        </w:tc>
        <w:tc>
          <w:tcPr>
            <w:tcW w:w="1204" w:type="dxa"/>
          </w:tcPr>
          <w:p>
            <w:pPr>
              <w:pStyle w:val="TableParagraph"/>
              <w:rPr>
                <w:rFonts w:ascii="Arial"/>
                <w:b/>
                <w:sz w:val="22"/>
              </w:rPr>
            </w:pPr>
          </w:p>
          <w:p>
            <w:pPr>
              <w:pStyle w:val="TableParagraph"/>
              <w:spacing w:before="7"/>
              <w:rPr>
                <w:rFonts w:ascii="Arial"/>
                <w:b/>
                <w:sz w:val="19"/>
              </w:rPr>
            </w:pPr>
          </w:p>
          <w:p>
            <w:pPr>
              <w:pStyle w:val="TableParagraph"/>
              <w:ind w:left="108"/>
              <w:rPr>
                <w:sz w:val="20"/>
              </w:rPr>
            </w:pPr>
            <w:r>
              <w:rPr>
                <w:w w:val="99"/>
                <w:sz w:val="20"/>
              </w:rPr>
              <w:t>*</w:t>
            </w:r>
          </w:p>
        </w:tc>
        <w:tc>
          <w:tcPr>
            <w:tcW w:w="5677" w:type="dxa"/>
          </w:tcPr>
          <w:p>
            <w:pPr>
              <w:pStyle w:val="TableParagraph"/>
              <w:spacing w:before="97"/>
              <w:ind w:left="947"/>
              <w:rPr>
                <w:b/>
                <w:sz w:val="20"/>
              </w:rPr>
            </w:pPr>
            <w:r>
              <w:rPr>
                <w:b/>
                <w:sz w:val="20"/>
                <w:u w:val="single"/>
              </w:rPr>
              <w:t>Item 54 – Handicrafts</w:t>
            </w:r>
          </w:p>
          <w:p>
            <w:pPr>
              <w:pStyle w:val="TableParagraph"/>
              <w:spacing w:before="151"/>
              <w:ind w:left="947"/>
              <w:rPr>
                <w:b/>
                <w:sz w:val="20"/>
              </w:rPr>
            </w:pPr>
            <w:r>
              <w:rPr>
                <w:b/>
                <w:sz w:val="20"/>
              </w:rPr>
              <w:t>Handicrafts, as prescribed by by-law</w:t>
            </w:r>
          </w:p>
        </w:tc>
        <w:tc>
          <w:tcPr>
            <w:tcW w:w="1789" w:type="dxa"/>
          </w:tcPr>
          <w:p>
            <w:pPr>
              <w:pStyle w:val="TableParagraph"/>
              <w:rPr>
                <w:rFonts w:ascii="Arial"/>
                <w:b/>
                <w:sz w:val="22"/>
              </w:rPr>
            </w:pPr>
          </w:p>
          <w:p>
            <w:pPr>
              <w:pStyle w:val="TableParagraph"/>
              <w:spacing w:before="7"/>
              <w:rPr>
                <w:rFonts w:ascii="Arial"/>
                <w:b/>
                <w:sz w:val="19"/>
              </w:rPr>
            </w:pPr>
          </w:p>
          <w:p>
            <w:pPr>
              <w:pStyle w:val="TableParagraph"/>
              <w:ind w:left="252"/>
              <w:rPr>
                <w:b/>
                <w:sz w:val="20"/>
              </w:rPr>
            </w:pPr>
            <w:r>
              <w:rPr>
                <w:b/>
                <w:sz w:val="20"/>
              </w:rPr>
              <w:t>Free</w:t>
            </w:r>
          </w:p>
        </w:tc>
      </w:tr>
      <w:tr>
        <w:trPr>
          <w:trHeight w:val="474" w:hRule="atLeast"/>
        </w:trPr>
        <w:tc>
          <w:tcPr>
            <w:tcW w:w="490" w:type="dxa"/>
          </w:tcPr>
          <w:p>
            <w:pPr>
              <w:pStyle w:val="TableParagraph"/>
              <w:rPr>
                <w:sz w:val="20"/>
              </w:rPr>
            </w:pPr>
          </w:p>
        </w:tc>
        <w:tc>
          <w:tcPr>
            <w:tcW w:w="745" w:type="dxa"/>
          </w:tcPr>
          <w:p>
            <w:pPr>
              <w:pStyle w:val="TableParagraph"/>
              <w:rPr>
                <w:sz w:val="20"/>
              </w:rPr>
            </w:pPr>
          </w:p>
        </w:tc>
        <w:tc>
          <w:tcPr>
            <w:tcW w:w="1204" w:type="dxa"/>
          </w:tcPr>
          <w:p>
            <w:pPr>
              <w:pStyle w:val="TableParagraph"/>
              <w:rPr>
                <w:sz w:val="20"/>
              </w:rPr>
            </w:pPr>
          </w:p>
        </w:tc>
        <w:tc>
          <w:tcPr>
            <w:tcW w:w="5677" w:type="dxa"/>
          </w:tcPr>
          <w:p>
            <w:pPr>
              <w:pStyle w:val="TableParagraph"/>
              <w:spacing w:before="165"/>
              <w:ind w:left="947"/>
              <w:rPr>
                <w:b/>
                <w:sz w:val="20"/>
              </w:rPr>
            </w:pPr>
            <w:r>
              <w:rPr>
                <w:b/>
                <w:sz w:val="20"/>
                <w:u w:val="single"/>
              </w:rPr>
              <w:t>Item 55 – Cheese and curd quota</w:t>
            </w:r>
          </w:p>
        </w:tc>
        <w:tc>
          <w:tcPr>
            <w:tcW w:w="1789" w:type="dxa"/>
          </w:tcPr>
          <w:p>
            <w:pPr>
              <w:pStyle w:val="TableParagraph"/>
              <w:rPr>
                <w:sz w:val="20"/>
              </w:rPr>
            </w:pPr>
          </w:p>
        </w:tc>
      </w:tr>
      <w:tr>
        <w:trPr>
          <w:trHeight w:val="1296" w:hRule="atLeast"/>
        </w:trPr>
        <w:tc>
          <w:tcPr>
            <w:tcW w:w="490" w:type="dxa"/>
          </w:tcPr>
          <w:p>
            <w:pPr>
              <w:pStyle w:val="TableParagraph"/>
              <w:spacing w:before="70"/>
              <w:ind w:left="105"/>
              <w:rPr>
                <w:b/>
                <w:sz w:val="20"/>
              </w:rPr>
            </w:pPr>
            <w:r>
              <w:rPr>
                <w:b/>
                <w:sz w:val="20"/>
              </w:rPr>
              <w:t>55</w:t>
            </w:r>
          </w:p>
        </w:tc>
        <w:tc>
          <w:tcPr>
            <w:tcW w:w="745" w:type="dxa"/>
          </w:tcPr>
          <w:p>
            <w:pPr>
              <w:pStyle w:val="TableParagraph"/>
              <w:spacing w:before="70"/>
              <w:ind w:left="182"/>
              <w:rPr>
                <w:sz w:val="20"/>
              </w:rPr>
            </w:pPr>
            <w:r>
              <w:rPr>
                <w:sz w:val="20"/>
              </w:rPr>
              <w:t>755 †</w:t>
            </w:r>
          </w:p>
        </w:tc>
        <w:tc>
          <w:tcPr>
            <w:tcW w:w="1204" w:type="dxa"/>
          </w:tcPr>
          <w:p>
            <w:pPr>
              <w:pStyle w:val="TableParagraph"/>
              <w:spacing w:before="70"/>
              <w:ind w:left="154"/>
              <w:rPr>
                <w:sz w:val="20"/>
              </w:rPr>
            </w:pPr>
            <w:r>
              <w:rPr>
                <w:w w:val="99"/>
                <w:sz w:val="20"/>
              </w:rPr>
              <w:t>*</w:t>
            </w:r>
          </w:p>
        </w:tc>
        <w:tc>
          <w:tcPr>
            <w:tcW w:w="5677" w:type="dxa"/>
          </w:tcPr>
          <w:p>
            <w:pPr>
              <w:pStyle w:val="TableParagraph"/>
              <w:spacing w:line="199" w:lineRule="auto" w:before="102"/>
              <w:ind w:left="947" w:right="342"/>
              <w:rPr>
                <w:b/>
                <w:sz w:val="20"/>
              </w:rPr>
            </w:pPr>
            <w:r>
              <w:rPr>
                <w:b/>
                <w:sz w:val="20"/>
              </w:rPr>
              <w:t>Cheese and curd, as prescribed by by-law, that are classified under subheading 0406.10.00, 0406.20.00,</w:t>
            </w:r>
          </w:p>
          <w:p>
            <w:pPr>
              <w:pStyle w:val="TableParagraph"/>
              <w:spacing w:line="198" w:lineRule="exact"/>
              <w:ind w:left="947"/>
              <w:rPr>
                <w:b/>
                <w:sz w:val="20"/>
              </w:rPr>
            </w:pPr>
            <w:r>
              <w:rPr>
                <w:b/>
                <w:sz w:val="20"/>
              </w:rPr>
              <w:t>0406.30.00, 0406.40.90 or 0406.90.90 of Schedule 3</w:t>
            </w:r>
          </w:p>
        </w:tc>
        <w:tc>
          <w:tcPr>
            <w:tcW w:w="1789" w:type="dxa"/>
          </w:tcPr>
          <w:p>
            <w:pPr>
              <w:pStyle w:val="TableParagraph"/>
              <w:spacing w:line="199" w:lineRule="auto" w:before="102"/>
              <w:ind w:left="252" w:right="183"/>
              <w:rPr>
                <w:b/>
                <w:sz w:val="20"/>
              </w:rPr>
            </w:pPr>
            <w:r>
              <w:rPr>
                <w:b/>
                <w:sz w:val="20"/>
              </w:rPr>
              <w:t>$0.096/kg DC:$0.096/kg, less 5% DCS:$0.096/kg,</w:t>
            </w:r>
          </w:p>
          <w:p>
            <w:pPr>
              <w:pStyle w:val="TableParagraph"/>
              <w:spacing w:line="196" w:lineRule="exact"/>
              <w:ind w:left="252"/>
              <w:rPr>
                <w:b/>
                <w:sz w:val="20"/>
              </w:rPr>
            </w:pPr>
            <w:r>
              <w:rPr>
                <w:b/>
                <w:sz w:val="20"/>
              </w:rPr>
              <w:t>less 5%</w:t>
            </w:r>
          </w:p>
        </w:tc>
      </w:tr>
      <w:tr>
        <w:trPr>
          <w:trHeight w:val="2164" w:hRule="atLeast"/>
        </w:trPr>
        <w:tc>
          <w:tcPr>
            <w:tcW w:w="490" w:type="dxa"/>
          </w:tcPr>
          <w:p>
            <w:pPr>
              <w:pStyle w:val="TableParagraph"/>
              <w:rPr>
                <w:sz w:val="20"/>
              </w:rPr>
            </w:pPr>
          </w:p>
        </w:tc>
        <w:tc>
          <w:tcPr>
            <w:tcW w:w="745" w:type="dxa"/>
          </w:tcPr>
          <w:p>
            <w:pPr>
              <w:pStyle w:val="TableParagraph"/>
              <w:rPr>
                <w:sz w:val="20"/>
              </w:rPr>
            </w:pPr>
          </w:p>
        </w:tc>
        <w:tc>
          <w:tcPr>
            <w:tcW w:w="1204" w:type="dxa"/>
          </w:tcPr>
          <w:p>
            <w:pPr>
              <w:pStyle w:val="TableParagraph"/>
              <w:rPr>
                <w:sz w:val="20"/>
              </w:rPr>
            </w:pPr>
          </w:p>
        </w:tc>
        <w:tc>
          <w:tcPr>
            <w:tcW w:w="5677" w:type="dxa"/>
          </w:tcPr>
          <w:p>
            <w:pPr>
              <w:pStyle w:val="TableParagraph"/>
              <w:spacing w:before="6"/>
              <w:rPr>
                <w:rFonts w:ascii="Arial"/>
                <w:b/>
                <w:sz w:val="22"/>
              </w:rPr>
            </w:pPr>
          </w:p>
          <w:p>
            <w:pPr>
              <w:pStyle w:val="TableParagraph"/>
              <w:spacing w:line="196" w:lineRule="auto"/>
              <w:ind w:left="1209" w:right="372" w:hanging="253"/>
              <w:rPr>
                <w:sz w:val="20"/>
              </w:rPr>
            </w:pPr>
            <w:r>
              <w:rPr>
                <w:sz w:val="20"/>
              </w:rPr>
              <w:t>† Rate Number 61A is to be quoted for Treatment Code 755. This Treatment Code will operate from 1 July 2013.</w:t>
            </w:r>
          </w:p>
          <w:p>
            <w:pPr>
              <w:pStyle w:val="TableParagraph"/>
              <w:spacing w:line="196" w:lineRule="auto" w:before="193"/>
              <w:ind w:left="1240" w:right="284"/>
              <w:rPr>
                <w:sz w:val="20"/>
              </w:rPr>
            </w:pPr>
            <w:r>
              <w:rPr>
                <w:sz w:val="20"/>
              </w:rPr>
              <w:t>A tariff quota instrument number is also required to be input on the Import Declaration.</w:t>
            </w:r>
          </w:p>
          <w:p>
            <w:pPr>
              <w:pStyle w:val="TableParagraph"/>
              <w:spacing w:line="190" w:lineRule="exact" w:before="195"/>
              <w:ind w:left="1240" w:right="458"/>
              <w:jc w:val="both"/>
              <w:rPr>
                <w:sz w:val="20"/>
              </w:rPr>
            </w:pPr>
            <w:r>
              <w:rPr>
                <w:sz w:val="20"/>
              </w:rPr>
              <w:t>Note that imports of cheese and curd from certain preference countries are duty free and use of item 55 is not available.</w:t>
            </w:r>
          </w:p>
        </w:tc>
        <w:tc>
          <w:tcPr>
            <w:tcW w:w="1789" w:type="dxa"/>
          </w:tcPr>
          <w:p>
            <w:pPr>
              <w:pStyle w:val="TableParagraph"/>
              <w:rPr>
                <w:sz w:val="20"/>
              </w:rPr>
            </w:pPr>
          </w:p>
        </w:tc>
      </w:tr>
    </w:tbl>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3"/>
        <w:rPr>
          <w:rFonts w:ascii="Arial"/>
          <w:sz w:val="25"/>
        </w:rPr>
      </w:pPr>
      <w:r>
        <w:rPr/>
        <w:pict>
          <v:rect style="position:absolute;margin-left:72.839996pt;margin-top:16.511673pt;width:489.001pt;height:.481pt;mso-position-horizontal-relative:page;mso-position-vertical-relative:paragraph;z-index:-15727104;mso-wrap-distance-left:0;mso-wrap-distance-right:0" filled="true" fillcolor="#000000" stroked="false">
            <v:fill type="solid"/>
            <w10:wrap type="topAndBottom"/>
          </v:rect>
        </w:pict>
      </w:r>
    </w:p>
    <w:p>
      <w:pPr>
        <w:pStyle w:val="BodyText"/>
        <w:tabs>
          <w:tab w:pos="10543" w:val="left" w:leader="none"/>
        </w:tabs>
        <w:spacing w:line="211" w:lineRule="auto" w:before="27"/>
        <w:ind w:left="1564" w:right="814"/>
      </w:pPr>
      <w:r>
        <w:rPr/>
        <w:t>* Enter under tariff classification and statistical key requirements in</w:t>
      </w:r>
      <w:r>
        <w:rPr>
          <w:spacing w:val="11"/>
        </w:rPr>
        <w:t> </w:t>
      </w:r>
      <w:r>
        <w:rPr/>
        <w:t>Schedule</w:t>
      </w:r>
      <w:r>
        <w:rPr>
          <w:spacing w:val="-1"/>
        </w:rPr>
        <w:t> </w:t>
      </w:r>
      <w:r>
        <w:rPr/>
        <w:t>3.</w:t>
        <w:tab/>
      </w:r>
      <w:r>
        <w:rPr>
          <w:spacing w:val="-3"/>
        </w:rPr>
        <w:t>1/12/17 </w:t>
      </w:r>
      <w:r>
        <w:rPr/>
        <w:t># Unless otherwise indicated NZ, PG, FI, DC, LDC and SG rates are</w:t>
      </w:r>
      <w:r>
        <w:rPr>
          <w:spacing w:val="2"/>
        </w:rPr>
        <w:t> </w:t>
      </w:r>
      <w:r>
        <w:rPr/>
        <w:t>Free.</w:t>
      </w:r>
    </w:p>
    <w:p>
      <w:pPr>
        <w:pStyle w:val="BodyText"/>
        <w:spacing w:line="190" w:lineRule="exact"/>
        <w:ind w:left="1706"/>
      </w:pPr>
      <w:r>
        <w:rPr/>
        <w:t>Unless otherwise indicated general rate applies for CA.</w:t>
      </w:r>
    </w:p>
    <w:p>
      <w:pPr>
        <w:pStyle w:val="BodyText"/>
        <w:spacing w:line="211" w:lineRule="auto" w:before="8"/>
        <w:ind w:left="1706" w:right="1151"/>
      </w:pPr>
      <w:r>
        <w:rPr/>
        <w:t>Unless otherwise indicated rates for US, Thai, Chilean, AANZ, Malaysian, Korean, Japanese and Chinese originating goods are Free.</w:t>
      </w:r>
    </w:p>
    <w:p>
      <w:pPr>
        <w:pStyle w:val="BodyText"/>
        <w:spacing w:line="208" w:lineRule="auto"/>
        <w:ind w:left="1706" w:right="3412"/>
      </w:pPr>
      <w:r>
        <w:rPr/>
        <w:t>DCS denotes the rate for countries and places listed in Part 4 of Schedule 1 to this Act. DCT denotes the rate for HK, KR, SG and TW.</w:t>
      </w:r>
    </w:p>
    <w:p>
      <w:pPr>
        <w:pStyle w:val="BodyText"/>
        <w:spacing w:line="207" w:lineRule="exact"/>
        <w:ind w:left="1706"/>
      </w:pPr>
      <w:r>
        <w:rPr/>
        <w:t>If no DCT rate shown, DCS rate applies. If no DCT or DCS rate shown, general rate applies.</w:t>
      </w:r>
    </w:p>
    <w:p>
      <w:pPr>
        <w:spacing w:after="0" w:line="207" w:lineRule="exact"/>
        <w:sectPr>
          <w:pgSz w:w="11910" w:h="16840"/>
          <w:pgMar w:top="600" w:bottom="280" w:left="0" w:right="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31"/>
        </w:rPr>
      </w:pPr>
    </w:p>
    <w:p>
      <w:pPr>
        <w:pStyle w:val="BodyText"/>
        <w:tabs>
          <w:tab w:pos="2239" w:val="left" w:leader="none"/>
        </w:tabs>
        <w:ind w:left="1672"/>
      </w:pPr>
      <w:r>
        <w:rPr/>
        <w:t>Item</w:t>
        <w:tab/>
      </w:r>
      <w:r>
        <w:rPr>
          <w:spacing w:val="-4"/>
        </w:rPr>
        <w:t>Treat-</w:t>
      </w:r>
    </w:p>
    <w:p>
      <w:pPr>
        <w:pStyle w:val="BodyText"/>
        <w:rPr>
          <w:sz w:val="22"/>
        </w:rPr>
      </w:pPr>
      <w:r>
        <w:rPr>
          <w:b w:val="0"/>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31"/>
        </w:rPr>
      </w:pPr>
    </w:p>
    <w:p>
      <w:pPr>
        <w:pStyle w:val="BodyText"/>
        <w:ind w:left="215"/>
      </w:pPr>
      <w:r>
        <w:rPr>
          <w:spacing w:val="-1"/>
        </w:rPr>
        <w:t>Refer-</w:t>
      </w:r>
    </w:p>
    <w:p>
      <w:pPr>
        <w:spacing w:line="348" w:lineRule="auto" w:before="78"/>
        <w:ind w:left="1825" w:right="909" w:firstLine="0"/>
        <w:jc w:val="center"/>
        <w:rPr>
          <w:rFonts w:ascii="Arial"/>
          <w:b/>
          <w:sz w:val="24"/>
        </w:rPr>
      </w:pPr>
      <w:r>
        <w:rPr/>
        <w:br w:type="column"/>
      </w:r>
      <w:r>
        <w:rPr>
          <w:rFonts w:ascii="Arial"/>
          <w:b/>
          <w:sz w:val="24"/>
        </w:rPr>
        <w:t>CUSTOMS TARIFF SCHEDULE 4</w:t>
      </w:r>
    </w:p>
    <w:p>
      <w:pPr>
        <w:spacing w:line="275" w:lineRule="exact" w:before="0"/>
        <w:ind w:left="918" w:right="0" w:firstLine="0"/>
        <w:jc w:val="center"/>
        <w:rPr>
          <w:rFonts w:ascii="Arial"/>
          <w:b/>
          <w:sz w:val="24"/>
        </w:rPr>
      </w:pPr>
      <w:r>
        <w:rPr>
          <w:rFonts w:ascii="Arial"/>
          <w:b/>
          <w:sz w:val="24"/>
        </w:rPr>
        <w:t>CONCESSIONAL RATES OF DUTY</w:t>
      </w:r>
    </w:p>
    <w:p>
      <w:pPr>
        <w:pStyle w:val="BodyText"/>
        <w:rPr>
          <w:rFonts w:ascii="Arial"/>
          <w:sz w:val="26"/>
        </w:rPr>
      </w:pPr>
    </w:p>
    <w:p>
      <w:pPr>
        <w:pStyle w:val="BodyText"/>
        <w:spacing w:before="162"/>
        <w:ind w:left="479"/>
      </w:pPr>
      <w:r>
        <w:rPr/>
        <w:pict>
          <v:shape style="position:absolute;margin-left:78.240005pt;margin-top:4.466159pt;width:479.55pt;height:.75pt;mso-position-horizontal-relative:page;mso-position-vertical-relative:paragraph;z-index:15731200" coordorigin="1565,89" coordsize="9591,15" path="m2842,89l2146,89,2131,89,1565,89,1565,104,2131,104,2146,104,2842,104,2842,89xm3833,89l2856,89,2842,89,2842,104,2856,104,3833,104,3833,89xm3847,89l3833,89,3833,104,3847,104,3847,89xm9823,89l4982,89,4968,89,3847,89,3847,104,4968,104,4982,104,9823,104,9823,89xm11155,89l9838,89,9823,89,9823,104,9838,104,11155,104,11155,89xe" filled="true" fillcolor="#000000" stroked="false">
            <v:path arrowok="t"/>
            <v:fill type="solid"/>
            <w10:wrap type="none"/>
          </v:shape>
        </w:pict>
      </w:r>
      <w:r>
        <w:rPr/>
        <w:t>Statistical</w:t>
      </w:r>
    </w:p>
    <w:p>
      <w:pPr>
        <w:pStyle w:val="BodyText"/>
        <w:rPr>
          <w:sz w:val="22"/>
        </w:rPr>
      </w:pPr>
      <w:r>
        <w:rPr>
          <w:b w:val="0"/>
        </w:rPr>
        <w:br w:type="column"/>
      </w:r>
      <w:r>
        <w:rPr>
          <w:sz w:val="22"/>
        </w:rPr>
      </w:r>
    </w:p>
    <w:p>
      <w:pPr>
        <w:pStyle w:val="BodyText"/>
        <w:rPr>
          <w:sz w:val="22"/>
        </w:rPr>
      </w:pPr>
    </w:p>
    <w:p>
      <w:pPr>
        <w:pStyle w:val="BodyText"/>
        <w:rPr>
          <w:sz w:val="22"/>
        </w:rPr>
      </w:pPr>
    </w:p>
    <w:p>
      <w:pPr>
        <w:pStyle w:val="BodyText"/>
        <w:rPr>
          <w:sz w:val="22"/>
        </w:rPr>
      </w:pPr>
    </w:p>
    <w:p>
      <w:pPr>
        <w:pStyle w:val="BodyText"/>
        <w:spacing w:before="2"/>
        <w:rPr>
          <w:sz w:val="27"/>
        </w:rPr>
      </w:pPr>
    </w:p>
    <w:p>
      <w:pPr>
        <w:pStyle w:val="BodyText"/>
        <w:ind w:left="1672"/>
      </w:pPr>
      <w:r>
        <w:rPr/>
        <w:t>Schedule 4/23</w:t>
      </w:r>
    </w:p>
    <w:p>
      <w:pPr>
        <w:spacing w:after="0"/>
        <w:sectPr>
          <w:pgSz w:w="11910" w:h="16840"/>
          <w:pgMar w:top="600" w:bottom="280" w:left="0" w:right="0"/>
          <w:cols w:num="4" w:equalWidth="0">
            <w:col w:w="2695" w:space="40"/>
            <w:col w:w="688" w:space="39"/>
            <w:col w:w="4854" w:space="45"/>
            <w:col w:w="3549"/>
          </w:cols>
        </w:sectPr>
      </w:pPr>
    </w:p>
    <w:p>
      <w:pPr>
        <w:pStyle w:val="BodyText"/>
        <w:spacing w:before="2"/>
        <w:jc w:val="right"/>
      </w:pPr>
      <w:r>
        <w:rPr/>
        <w:t>ment</w:t>
      </w:r>
    </w:p>
    <w:p>
      <w:pPr>
        <w:pStyle w:val="BodyText"/>
        <w:spacing w:before="2"/>
        <w:ind w:left="277"/>
      </w:pPr>
      <w:r>
        <w:rPr>
          <w:b w:val="0"/>
        </w:rPr>
        <w:br w:type="column"/>
      </w:r>
      <w:r>
        <w:rPr/>
        <w:t>ence</w:t>
      </w:r>
    </w:p>
    <w:p>
      <w:pPr>
        <w:pStyle w:val="BodyText"/>
        <w:spacing w:before="2"/>
        <w:ind w:left="576"/>
      </w:pPr>
      <w:r>
        <w:rPr>
          <w:b w:val="0"/>
        </w:rPr>
        <w:br w:type="column"/>
      </w:r>
      <w:r>
        <w:rPr/>
        <w:t>Code/Unit</w:t>
      </w:r>
    </w:p>
    <w:p>
      <w:pPr>
        <w:pStyle w:val="BodyText"/>
        <w:tabs>
          <w:tab w:pos="5175" w:val="left" w:leader="none"/>
        </w:tabs>
        <w:spacing w:before="2"/>
        <w:ind w:left="1806"/>
      </w:pPr>
      <w:r>
        <w:rPr>
          <w:b w:val="0"/>
        </w:rPr>
        <w:br w:type="column"/>
      </w:r>
      <w:r>
        <w:rPr/>
        <w:t>Description of</w:t>
      </w:r>
      <w:r>
        <w:rPr>
          <w:spacing w:val="-1"/>
        </w:rPr>
        <w:t> </w:t>
      </w:r>
      <w:r>
        <w:rPr/>
        <w:t>Goods</w:t>
        <w:tab/>
        <w:t>Rate #</w:t>
      </w:r>
    </w:p>
    <w:p>
      <w:pPr>
        <w:spacing w:after="0"/>
        <w:sectPr>
          <w:type w:val="continuous"/>
          <w:pgSz w:w="11910" w:h="16840"/>
          <w:pgMar w:top="0" w:bottom="280" w:left="0" w:right="0"/>
          <w:cols w:num="4" w:equalWidth="0">
            <w:col w:w="2633" w:space="40"/>
            <w:col w:w="652" w:space="39"/>
            <w:col w:w="1352" w:space="40"/>
            <w:col w:w="7154"/>
          </w:cols>
        </w:sectPr>
      </w:pPr>
    </w:p>
    <w:p>
      <w:pPr>
        <w:pStyle w:val="BodyText"/>
        <w:tabs>
          <w:tab w:pos="2239" w:val="left" w:leader="none"/>
          <w:tab w:pos="2949" w:val="left" w:leader="none"/>
          <w:tab w:pos="3940" w:val="left" w:leader="none"/>
          <w:tab w:pos="11155" w:val="left" w:leader="none"/>
        </w:tabs>
        <w:spacing w:before="1"/>
        <w:ind w:left="1550"/>
      </w:pPr>
      <w:r>
        <w:rPr>
          <w:w w:val="99"/>
          <w:u w:val="single"/>
        </w:rPr>
        <w:t> </w:t>
      </w:r>
      <w:r>
        <w:rPr>
          <w:u w:val="single"/>
        </w:rPr>
        <w:tab/>
        <w:t>Code</w:t>
        <w:tab/>
        <w:t>Number</w:t>
        <w:tab/>
        <w:t>of</w:t>
      </w:r>
      <w:r>
        <w:rPr>
          <w:spacing w:val="-1"/>
          <w:u w:val="single"/>
        </w:rPr>
        <w:t> </w:t>
      </w:r>
      <w:r>
        <w:rPr>
          <w:u w:val="single"/>
        </w:rPr>
        <w:t>Quantity</w:t>
        <w:tab/>
      </w:r>
    </w:p>
    <w:p>
      <w:pPr>
        <w:pStyle w:val="BodyText"/>
        <w:spacing w:before="8"/>
        <w:rPr>
          <w:sz w:val="22"/>
        </w:rPr>
      </w:pPr>
    </w:p>
    <w:tbl>
      <w:tblPr>
        <w:tblW w:w="0" w:type="auto"/>
        <w:jc w:val="left"/>
        <w:tblInd w:w="10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
        <w:gridCol w:w="1112"/>
        <w:gridCol w:w="1154"/>
        <w:gridCol w:w="961"/>
        <w:gridCol w:w="4879"/>
        <w:gridCol w:w="851"/>
      </w:tblGrid>
      <w:tr>
        <w:trPr>
          <w:trHeight w:val="722" w:hRule="atLeast"/>
        </w:trPr>
        <w:tc>
          <w:tcPr>
            <w:tcW w:w="486" w:type="dxa"/>
          </w:tcPr>
          <w:p>
            <w:pPr>
              <w:pStyle w:val="TableParagraph"/>
              <w:spacing w:line="221" w:lineRule="exact"/>
              <w:ind w:left="200"/>
              <w:rPr>
                <w:rFonts w:ascii="Wingdings" w:hAnsi="Wingdings"/>
                <w:sz w:val="20"/>
              </w:rPr>
            </w:pPr>
            <w:r>
              <w:rPr>
                <w:rFonts w:ascii="Wingdings" w:hAnsi="Wingdings"/>
                <w:w w:val="99"/>
                <w:sz w:val="20"/>
              </w:rPr>
              <w:t></w:t>
            </w:r>
          </w:p>
        </w:tc>
        <w:tc>
          <w:tcPr>
            <w:tcW w:w="1112" w:type="dxa"/>
          </w:tcPr>
          <w:p>
            <w:pPr>
              <w:pStyle w:val="TableParagraph"/>
              <w:spacing w:line="222" w:lineRule="exact"/>
              <w:ind w:left="107"/>
              <w:rPr>
                <w:b/>
                <w:sz w:val="20"/>
              </w:rPr>
            </w:pPr>
            <w:r>
              <w:rPr>
                <w:b/>
                <w:sz w:val="20"/>
              </w:rPr>
              <w:t>56</w:t>
            </w:r>
          </w:p>
        </w:tc>
        <w:tc>
          <w:tcPr>
            <w:tcW w:w="1154" w:type="dxa"/>
          </w:tcPr>
          <w:p>
            <w:pPr>
              <w:pStyle w:val="TableParagraph"/>
              <w:rPr>
                <w:sz w:val="20"/>
              </w:rPr>
            </w:pPr>
          </w:p>
        </w:tc>
        <w:tc>
          <w:tcPr>
            <w:tcW w:w="961" w:type="dxa"/>
          </w:tcPr>
          <w:p>
            <w:pPr>
              <w:pStyle w:val="TableParagraph"/>
              <w:rPr>
                <w:sz w:val="20"/>
              </w:rPr>
            </w:pPr>
          </w:p>
        </w:tc>
        <w:tc>
          <w:tcPr>
            <w:tcW w:w="4879" w:type="dxa"/>
          </w:tcPr>
          <w:p>
            <w:pPr>
              <w:pStyle w:val="TableParagraph"/>
              <w:spacing w:before="95"/>
              <w:ind w:left="156"/>
              <w:rPr>
                <w:b/>
                <w:sz w:val="20"/>
              </w:rPr>
            </w:pPr>
            <w:r>
              <w:rPr>
                <w:b/>
                <w:sz w:val="20"/>
                <w:u w:val="single"/>
              </w:rPr>
              <w:t>Item 56 - Placebos for use in clinical trials</w:t>
            </w:r>
          </w:p>
          <w:p>
            <w:pPr>
              <w:pStyle w:val="TableParagraph"/>
              <w:spacing w:before="130"/>
              <w:ind w:left="156"/>
              <w:rPr>
                <w:b/>
                <w:sz w:val="20"/>
              </w:rPr>
            </w:pPr>
            <w:r>
              <w:rPr>
                <w:b/>
                <w:sz w:val="20"/>
              </w:rPr>
              <w:t>Goods in respect of which the following apply:</w:t>
            </w:r>
          </w:p>
        </w:tc>
        <w:tc>
          <w:tcPr>
            <w:tcW w:w="851" w:type="dxa"/>
          </w:tcPr>
          <w:p>
            <w:pPr>
              <w:pStyle w:val="TableParagraph"/>
              <w:rPr>
                <w:sz w:val="20"/>
              </w:rPr>
            </w:pPr>
          </w:p>
        </w:tc>
      </w:tr>
      <w:tr>
        <w:trPr>
          <w:trHeight w:val="1520" w:hRule="atLeast"/>
        </w:trPr>
        <w:tc>
          <w:tcPr>
            <w:tcW w:w="486" w:type="dxa"/>
          </w:tcPr>
          <w:p>
            <w:pPr>
              <w:pStyle w:val="TableParagraph"/>
              <w:rPr>
                <w:sz w:val="20"/>
              </w:rPr>
            </w:pPr>
          </w:p>
        </w:tc>
        <w:tc>
          <w:tcPr>
            <w:tcW w:w="1112" w:type="dxa"/>
          </w:tcPr>
          <w:p>
            <w:pPr>
              <w:pStyle w:val="TableParagraph"/>
              <w:rPr>
                <w:sz w:val="20"/>
              </w:rPr>
            </w:pPr>
          </w:p>
        </w:tc>
        <w:tc>
          <w:tcPr>
            <w:tcW w:w="1154" w:type="dxa"/>
            <w:vMerge w:val="restart"/>
          </w:tcPr>
          <w:p>
            <w:pPr>
              <w:pStyle w:val="TableParagraph"/>
              <w:rPr>
                <w:rFonts w:ascii="Arial Narrow"/>
                <w:b/>
                <w:sz w:val="22"/>
              </w:rPr>
            </w:pPr>
          </w:p>
          <w:p>
            <w:pPr>
              <w:pStyle w:val="TableParagraph"/>
              <w:spacing w:before="11"/>
              <w:rPr>
                <w:rFonts w:ascii="Arial Narrow"/>
                <w:b/>
                <w:sz w:val="20"/>
              </w:rPr>
            </w:pPr>
          </w:p>
          <w:p>
            <w:pPr>
              <w:pStyle w:val="TableParagraph"/>
              <w:ind w:left="133"/>
              <w:rPr>
                <w:sz w:val="20"/>
              </w:rPr>
            </w:pPr>
            <w:r>
              <w:rPr>
                <w:sz w:val="20"/>
              </w:rPr>
              <w:t>9999.40.56</w:t>
            </w: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10"/>
              <w:rPr>
                <w:rFonts w:ascii="Arial Narrow"/>
                <w:b/>
                <w:sz w:val="29"/>
              </w:rPr>
            </w:pPr>
          </w:p>
          <w:p>
            <w:pPr>
              <w:pStyle w:val="TableParagraph"/>
              <w:ind w:left="133"/>
              <w:rPr>
                <w:b/>
                <w:sz w:val="20"/>
              </w:rPr>
            </w:pPr>
            <w:r>
              <w:rPr>
                <w:b/>
                <w:w w:val="99"/>
                <w:sz w:val="20"/>
              </w:rPr>
              <w:t>*</w:t>
            </w:r>
          </w:p>
        </w:tc>
        <w:tc>
          <w:tcPr>
            <w:tcW w:w="961" w:type="dxa"/>
          </w:tcPr>
          <w:p>
            <w:pPr>
              <w:pStyle w:val="TableParagraph"/>
              <w:rPr>
                <w:rFonts w:ascii="Arial Narrow"/>
                <w:b/>
                <w:sz w:val="22"/>
              </w:rPr>
            </w:pPr>
          </w:p>
          <w:p>
            <w:pPr>
              <w:pStyle w:val="TableParagraph"/>
              <w:spacing w:before="11"/>
              <w:rPr>
                <w:rFonts w:ascii="Arial Narrow"/>
                <w:b/>
                <w:sz w:val="20"/>
              </w:rPr>
            </w:pPr>
          </w:p>
          <w:p>
            <w:pPr>
              <w:pStyle w:val="TableParagraph"/>
              <w:tabs>
                <w:tab w:pos="567" w:val="left" w:leader="none"/>
              </w:tabs>
              <w:ind w:left="114"/>
              <w:rPr>
                <w:i/>
                <w:sz w:val="20"/>
              </w:rPr>
            </w:pPr>
            <w:r>
              <w:rPr>
                <w:i/>
                <w:sz w:val="20"/>
              </w:rPr>
              <w:t>01</w:t>
              <w:tab/>
              <w:t>No</w:t>
            </w:r>
          </w:p>
        </w:tc>
        <w:tc>
          <w:tcPr>
            <w:tcW w:w="4879" w:type="dxa"/>
            <w:vMerge w:val="restart"/>
          </w:tcPr>
          <w:p>
            <w:pPr>
              <w:pStyle w:val="TableParagraph"/>
              <w:numPr>
                <w:ilvl w:val="0"/>
                <w:numId w:val="5"/>
              </w:numPr>
              <w:tabs>
                <w:tab w:pos="443" w:val="left" w:leader="none"/>
              </w:tabs>
              <w:spacing w:line="240" w:lineRule="auto" w:before="83" w:after="0"/>
              <w:ind w:left="442" w:right="0" w:hanging="287"/>
              <w:jc w:val="left"/>
              <w:rPr>
                <w:b/>
                <w:sz w:val="20"/>
              </w:rPr>
            </w:pPr>
            <w:r>
              <w:rPr>
                <w:b/>
                <w:sz w:val="20"/>
              </w:rPr>
              <w:t>either:</w:t>
            </w:r>
          </w:p>
          <w:p>
            <w:pPr>
              <w:pStyle w:val="TableParagraph"/>
              <w:numPr>
                <w:ilvl w:val="1"/>
                <w:numId w:val="5"/>
              </w:numPr>
              <w:tabs>
                <w:tab w:pos="942" w:val="left" w:leader="none"/>
              </w:tabs>
              <w:spacing w:line="249" w:lineRule="auto" w:before="125" w:after="0"/>
              <w:ind w:left="984" w:right="262" w:hanging="284"/>
              <w:jc w:val="left"/>
              <w:rPr>
                <w:b/>
                <w:sz w:val="20"/>
              </w:rPr>
            </w:pPr>
            <w:r>
              <w:rPr>
                <w:b/>
                <w:sz w:val="20"/>
              </w:rPr>
              <w:t>the goods are kits containing either or both medicaments and placebos, the kits do not indicate whether their contents are medicaments or placebos, the kits are imported for use in a clinical trial in Australia and the kits satisfy the requirements prescribed by by-law;</w:t>
            </w:r>
            <w:r>
              <w:rPr>
                <w:b/>
                <w:spacing w:val="-5"/>
                <w:sz w:val="20"/>
              </w:rPr>
              <w:t> </w:t>
            </w:r>
            <w:r>
              <w:rPr>
                <w:b/>
                <w:sz w:val="20"/>
              </w:rPr>
              <w:t>or</w:t>
            </w:r>
          </w:p>
          <w:p>
            <w:pPr>
              <w:pStyle w:val="TableParagraph"/>
              <w:numPr>
                <w:ilvl w:val="1"/>
                <w:numId w:val="5"/>
              </w:numPr>
              <w:tabs>
                <w:tab w:pos="997" w:val="left" w:leader="none"/>
              </w:tabs>
              <w:spacing w:line="249" w:lineRule="auto" w:before="6" w:after="0"/>
              <w:ind w:left="984" w:right="278" w:hanging="284"/>
              <w:jc w:val="left"/>
              <w:rPr>
                <w:b/>
                <w:sz w:val="20"/>
              </w:rPr>
            </w:pPr>
            <w:r>
              <w:rPr>
                <w:b/>
                <w:sz w:val="20"/>
              </w:rPr>
              <w:t>the goods are placebos imported for use</w:t>
            </w:r>
            <w:r>
              <w:rPr>
                <w:b/>
                <w:spacing w:val="-20"/>
                <w:sz w:val="20"/>
              </w:rPr>
              <w:t> </w:t>
            </w:r>
            <w:r>
              <w:rPr>
                <w:b/>
                <w:sz w:val="20"/>
              </w:rPr>
              <w:t>in a clinical trial in</w:t>
            </w:r>
            <w:r>
              <w:rPr>
                <w:b/>
                <w:spacing w:val="-1"/>
                <w:sz w:val="20"/>
              </w:rPr>
              <w:t> </w:t>
            </w:r>
            <w:r>
              <w:rPr>
                <w:b/>
                <w:sz w:val="20"/>
              </w:rPr>
              <w:t>Australia;</w:t>
            </w:r>
          </w:p>
          <w:p>
            <w:pPr>
              <w:pStyle w:val="TableParagraph"/>
              <w:numPr>
                <w:ilvl w:val="0"/>
                <w:numId w:val="5"/>
              </w:numPr>
              <w:tabs>
                <w:tab w:pos="445" w:val="left" w:leader="none"/>
              </w:tabs>
              <w:spacing w:line="196" w:lineRule="auto" w:before="117" w:after="0"/>
              <w:ind w:left="439" w:right="491" w:hanging="284"/>
              <w:jc w:val="left"/>
              <w:rPr>
                <w:b/>
                <w:sz w:val="18"/>
              </w:rPr>
            </w:pPr>
            <w:r>
              <w:rPr>
                <w:b/>
                <w:sz w:val="20"/>
              </w:rPr>
              <w:t>all requirements imposed by the laws of the Commonwealth, relating to the importation of the goods, have been complied</w:t>
            </w:r>
            <w:r>
              <w:rPr>
                <w:b/>
                <w:spacing w:val="-2"/>
                <w:sz w:val="20"/>
              </w:rPr>
              <w:t> </w:t>
            </w:r>
            <w:r>
              <w:rPr>
                <w:b/>
                <w:sz w:val="20"/>
              </w:rPr>
              <w:t>with</w:t>
            </w:r>
          </w:p>
        </w:tc>
        <w:tc>
          <w:tcPr>
            <w:tcW w:w="851" w:type="dxa"/>
            <w:vMerge w:val="restart"/>
          </w:tcPr>
          <w:p>
            <w:pPr>
              <w:pStyle w:val="TableParagraph"/>
              <w:rPr>
                <w:rFonts w:ascii="Arial Narrow"/>
                <w:b/>
                <w:sz w:val="22"/>
              </w:rPr>
            </w:pPr>
          </w:p>
          <w:p>
            <w:pPr>
              <w:pStyle w:val="TableParagraph"/>
              <w:spacing w:before="11"/>
              <w:rPr>
                <w:rFonts w:ascii="Arial Narrow"/>
                <w:b/>
                <w:sz w:val="20"/>
              </w:rPr>
            </w:pPr>
          </w:p>
          <w:p>
            <w:pPr>
              <w:pStyle w:val="TableParagraph"/>
              <w:ind w:left="260"/>
              <w:rPr>
                <w:b/>
                <w:sz w:val="20"/>
              </w:rPr>
            </w:pPr>
            <w:r>
              <w:rPr>
                <w:b/>
                <w:sz w:val="20"/>
              </w:rPr>
              <w:t>Free</w:t>
            </w: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10"/>
              <w:rPr>
                <w:rFonts w:ascii="Arial Narrow"/>
                <w:b/>
                <w:sz w:val="29"/>
              </w:rPr>
            </w:pPr>
          </w:p>
          <w:p>
            <w:pPr>
              <w:pStyle w:val="TableParagraph"/>
              <w:ind w:left="260"/>
              <w:rPr>
                <w:b/>
                <w:sz w:val="20"/>
              </w:rPr>
            </w:pPr>
            <w:r>
              <w:rPr>
                <w:b/>
                <w:sz w:val="20"/>
              </w:rPr>
              <w:t>Free</w:t>
            </w:r>
          </w:p>
        </w:tc>
      </w:tr>
      <w:tr>
        <w:trPr>
          <w:trHeight w:val="1874" w:hRule="atLeast"/>
        </w:trPr>
        <w:tc>
          <w:tcPr>
            <w:tcW w:w="486" w:type="dxa"/>
          </w:tcPr>
          <w:p>
            <w:pPr>
              <w:pStyle w:val="TableParagraph"/>
              <w:rPr>
                <w:sz w:val="20"/>
              </w:rPr>
            </w:pPr>
          </w:p>
        </w:tc>
        <w:tc>
          <w:tcPr>
            <w:tcW w:w="1112" w:type="dxa"/>
          </w:tcPr>
          <w:p>
            <w:pPr>
              <w:pStyle w:val="TableParagraph"/>
              <w:rPr>
                <w:rFonts w:ascii="Arial Narrow"/>
                <w:b/>
                <w:sz w:val="22"/>
              </w:rPr>
            </w:pPr>
          </w:p>
          <w:p>
            <w:pPr>
              <w:pStyle w:val="TableParagraph"/>
              <w:rPr>
                <w:rFonts w:ascii="Arial Narrow"/>
                <w:b/>
                <w:sz w:val="22"/>
              </w:rPr>
            </w:pPr>
          </w:p>
          <w:p>
            <w:pPr>
              <w:pStyle w:val="TableParagraph"/>
              <w:spacing w:before="1"/>
              <w:rPr>
                <w:rFonts w:ascii="Arial Narrow"/>
                <w:b/>
                <w:sz w:val="25"/>
              </w:rPr>
            </w:pPr>
          </w:p>
          <w:p>
            <w:pPr>
              <w:pStyle w:val="TableParagraph"/>
              <w:ind w:left="673"/>
              <w:rPr>
                <w:sz w:val="20"/>
              </w:rPr>
            </w:pPr>
            <w:r>
              <w:rPr>
                <w:sz w:val="20"/>
              </w:rPr>
              <w:t>756</w:t>
            </w:r>
          </w:p>
        </w:tc>
        <w:tc>
          <w:tcPr>
            <w:tcW w:w="1154" w:type="dxa"/>
            <w:vMerge/>
            <w:tcBorders>
              <w:top w:val="nil"/>
            </w:tcBorders>
          </w:tcPr>
          <w:p>
            <w:pPr>
              <w:rPr>
                <w:sz w:val="2"/>
                <w:szCs w:val="2"/>
              </w:rPr>
            </w:pPr>
          </w:p>
        </w:tc>
        <w:tc>
          <w:tcPr>
            <w:tcW w:w="961" w:type="dxa"/>
          </w:tcPr>
          <w:p>
            <w:pPr>
              <w:pStyle w:val="TableParagraph"/>
              <w:rPr>
                <w:sz w:val="20"/>
              </w:rPr>
            </w:pPr>
          </w:p>
        </w:tc>
        <w:tc>
          <w:tcPr>
            <w:tcW w:w="4879" w:type="dxa"/>
            <w:vMerge/>
            <w:tcBorders>
              <w:top w:val="nil"/>
            </w:tcBorders>
          </w:tcPr>
          <w:p>
            <w:pPr>
              <w:rPr>
                <w:sz w:val="2"/>
                <w:szCs w:val="2"/>
              </w:rPr>
            </w:pPr>
          </w:p>
        </w:tc>
        <w:tc>
          <w:tcPr>
            <w:tcW w:w="851" w:type="dxa"/>
            <w:vMerge/>
            <w:tcBorders>
              <w:top w:val="nil"/>
            </w:tcBorders>
          </w:tcPr>
          <w:p>
            <w:pPr>
              <w:rPr>
                <w:sz w:val="2"/>
                <w:szCs w:val="2"/>
              </w:rPr>
            </w:pPr>
          </w:p>
        </w:tc>
      </w:tr>
      <w:tr>
        <w:trPr>
          <w:trHeight w:val="374" w:hRule="atLeast"/>
        </w:trPr>
        <w:tc>
          <w:tcPr>
            <w:tcW w:w="486" w:type="dxa"/>
          </w:tcPr>
          <w:p>
            <w:pPr>
              <w:pStyle w:val="TableParagraph"/>
              <w:rPr>
                <w:sz w:val="20"/>
              </w:rPr>
            </w:pPr>
          </w:p>
        </w:tc>
        <w:tc>
          <w:tcPr>
            <w:tcW w:w="1112" w:type="dxa"/>
          </w:tcPr>
          <w:p>
            <w:pPr>
              <w:pStyle w:val="TableParagraph"/>
              <w:rPr>
                <w:sz w:val="20"/>
              </w:rPr>
            </w:pPr>
          </w:p>
        </w:tc>
        <w:tc>
          <w:tcPr>
            <w:tcW w:w="1154" w:type="dxa"/>
          </w:tcPr>
          <w:p>
            <w:pPr>
              <w:pStyle w:val="TableParagraph"/>
              <w:rPr>
                <w:sz w:val="20"/>
              </w:rPr>
            </w:pPr>
          </w:p>
        </w:tc>
        <w:tc>
          <w:tcPr>
            <w:tcW w:w="961" w:type="dxa"/>
          </w:tcPr>
          <w:p>
            <w:pPr>
              <w:pStyle w:val="TableParagraph"/>
              <w:rPr>
                <w:sz w:val="20"/>
              </w:rPr>
            </w:pPr>
          </w:p>
        </w:tc>
        <w:tc>
          <w:tcPr>
            <w:tcW w:w="4879" w:type="dxa"/>
          </w:tcPr>
          <w:p>
            <w:pPr>
              <w:pStyle w:val="TableParagraph"/>
              <w:spacing w:before="96"/>
              <w:ind w:left="166"/>
              <w:rPr>
                <w:sz w:val="20"/>
              </w:rPr>
            </w:pPr>
            <w:r>
              <w:rPr>
                <w:sz w:val="20"/>
                <w:u w:val="single"/>
              </w:rPr>
              <w:t>Treatment Code 444</w:t>
            </w:r>
          </w:p>
        </w:tc>
        <w:tc>
          <w:tcPr>
            <w:tcW w:w="851" w:type="dxa"/>
          </w:tcPr>
          <w:p>
            <w:pPr>
              <w:pStyle w:val="TableParagraph"/>
              <w:rPr>
                <w:sz w:val="20"/>
              </w:rPr>
            </w:pPr>
          </w:p>
        </w:tc>
      </w:tr>
      <w:tr>
        <w:trPr>
          <w:trHeight w:val="2867" w:hRule="atLeast"/>
        </w:trPr>
        <w:tc>
          <w:tcPr>
            <w:tcW w:w="486" w:type="dxa"/>
          </w:tcPr>
          <w:p>
            <w:pPr>
              <w:pStyle w:val="TableParagraph"/>
              <w:rPr>
                <w:sz w:val="20"/>
              </w:rPr>
            </w:pPr>
          </w:p>
        </w:tc>
        <w:tc>
          <w:tcPr>
            <w:tcW w:w="1112" w:type="dxa"/>
          </w:tcPr>
          <w:p>
            <w:pPr>
              <w:pStyle w:val="TableParagraph"/>
              <w:rPr>
                <w:sz w:val="20"/>
              </w:rPr>
            </w:pPr>
          </w:p>
        </w:tc>
        <w:tc>
          <w:tcPr>
            <w:tcW w:w="1154" w:type="dxa"/>
          </w:tcPr>
          <w:p>
            <w:pPr>
              <w:pStyle w:val="TableParagraph"/>
              <w:rPr>
                <w:sz w:val="20"/>
              </w:rPr>
            </w:pPr>
          </w:p>
        </w:tc>
        <w:tc>
          <w:tcPr>
            <w:tcW w:w="961" w:type="dxa"/>
          </w:tcPr>
          <w:p>
            <w:pPr>
              <w:pStyle w:val="TableParagraph"/>
              <w:rPr>
                <w:sz w:val="20"/>
              </w:rPr>
            </w:pPr>
          </w:p>
        </w:tc>
        <w:tc>
          <w:tcPr>
            <w:tcW w:w="4879" w:type="dxa"/>
          </w:tcPr>
          <w:p>
            <w:pPr>
              <w:pStyle w:val="TableParagraph"/>
              <w:spacing w:line="208" w:lineRule="auto" w:before="63"/>
              <w:ind w:left="156" w:right="331"/>
              <w:rPr>
                <w:sz w:val="20"/>
              </w:rPr>
            </w:pPr>
            <w:r>
              <w:rPr>
                <w:sz w:val="20"/>
              </w:rPr>
              <w:t>Treatment Code 444 was formerly linked to item 44 in Schedule 4. The former item 44 was repealed from</w:t>
            </w:r>
          </w:p>
          <w:p>
            <w:pPr>
              <w:pStyle w:val="TableParagraph"/>
              <w:spacing w:line="204" w:lineRule="exact"/>
              <w:ind w:left="156"/>
              <w:rPr>
                <w:sz w:val="20"/>
              </w:rPr>
            </w:pPr>
            <w:r>
              <w:rPr>
                <w:sz w:val="20"/>
              </w:rPr>
              <w:t>1 July 2006.</w:t>
            </w:r>
          </w:p>
          <w:p>
            <w:pPr>
              <w:pStyle w:val="TableParagraph"/>
              <w:spacing w:line="208" w:lineRule="auto" w:before="195"/>
              <w:ind w:left="156" w:right="291"/>
              <w:rPr>
                <w:sz w:val="20"/>
              </w:rPr>
            </w:pPr>
            <w:r>
              <w:rPr>
                <w:sz w:val="20"/>
              </w:rPr>
              <w:t>However, treatment Code 444 will continue to be available for use on “Customs Excise Returns” - a modified weekly Import Declaration, ex-warehouse (Nature 30) form. Treatment Code 444 and Tariff Rate Number 044 must only be quoted on a “Customs Excise Return”.</w:t>
            </w:r>
          </w:p>
          <w:p>
            <w:pPr>
              <w:pStyle w:val="TableParagraph"/>
              <w:spacing w:line="216" w:lineRule="exact" w:before="174"/>
              <w:ind w:left="156"/>
              <w:rPr>
                <w:sz w:val="20"/>
              </w:rPr>
            </w:pPr>
            <w:r>
              <w:rPr>
                <w:sz w:val="20"/>
              </w:rPr>
              <w:t>Refer to Australian Customs Notice 2006/33 for further</w:t>
            </w:r>
          </w:p>
          <w:p>
            <w:pPr>
              <w:pStyle w:val="TableParagraph"/>
              <w:spacing w:line="200" w:lineRule="exact" w:before="13"/>
              <w:ind w:left="156" w:right="331"/>
              <w:rPr>
                <w:sz w:val="20"/>
              </w:rPr>
            </w:pPr>
            <w:r>
              <w:rPr>
                <w:sz w:val="20"/>
              </w:rPr>
              <w:t>information on administrative arrangements for imported excise equivalent goods.</w:t>
            </w:r>
          </w:p>
        </w:tc>
        <w:tc>
          <w:tcPr>
            <w:tcW w:w="851" w:type="dxa"/>
          </w:tcPr>
          <w:p>
            <w:pPr>
              <w:pStyle w:val="TableParagraph"/>
              <w:rPr>
                <w:sz w:val="20"/>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pPr>
      <w:r>
        <w:rPr/>
        <w:pict>
          <v:rect style="position:absolute;margin-left:72.839996pt;margin-top:13.675382pt;width:489.001pt;height:.481pt;mso-position-horizontal-relative:page;mso-position-vertical-relative:paragraph;z-index:-15726592;mso-wrap-distance-left:0;mso-wrap-distance-right:0" filled="true" fillcolor="#000000" stroked="false">
            <v:fill type="solid"/>
            <w10:wrap type="topAndBottom"/>
          </v:rect>
        </w:pict>
      </w:r>
    </w:p>
    <w:p>
      <w:pPr>
        <w:pStyle w:val="ListParagraph"/>
        <w:numPr>
          <w:ilvl w:val="0"/>
          <w:numId w:val="6"/>
        </w:numPr>
        <w:tabs>
          <w:tab w:pos="1707" w:val="left" w:leader="none"/>
          <w:tab w:pos="9604" w:val="left" w:leader="none"/>
        </w:tabs>
        <w:spacing w:line="211" w:lineRule="auto" w:before="27" w:after="0"/>
        <w:ind w:left="1564" w:right="811" w:firstLine="0"/>
        <w:jc w:val="left"/>
        <w:rPr>
          <w:rFonts w:ascii="Arial Narrow" w:hAnsi="Arial Narrow"/>
          <w:b/>
          <w:sz w:val="20"/>
        </w:rPr>
      </w:pPr>
      <w:r>
        <w:rPr>
          <w:rFonts w:ascii="Arial Narrow" w:hAnsi="Arial Narrow"/>
          <w:b/>
          <w:sz w:val="20"/>
        </w:rPr>
        <w:t>Enter under tariff classification and statistical key requirements in</w:t>
      </w:r>
      <w:r>
        <w:rPr>
          <w:rFonts w:ascii="Arial Narrow" w:hAnsi="Arial Narrow"/>
          <w:b/>
          <w:spacing w:val="-19"/>
          <w:sz w:val="20"/>
        </w:rPr>
        <w:t> </w:t>
      </w:r>
      <w:r>
        <w:rPr>
          <w:rFonts w:ascii="Arial Narrow" w:hAnsi="Arial Narrow"/>
          <w:b/>
          <w:sz w:val="20"/>
        </w:rPr>
        <w:t>Schedule</w:t>
      </w:r>
      <w:r>
        <w:rPr>
          <w:rFonts w:ascii="Arial Narrow" w:hAnsi="Arial Narrow"/>
          <w:b/>
          <w:spacing w:val="-1"/>
          <w:sz w:val="20"/>
        </w:rPr>
        <w:t> </w:t>
      </w:r>
      <w:r>
        <w:rPr>
          <w:rFonts w:ascii="Arial Narrow" w:hAnsi="Arial Narrow"/>
          <w:b/>
          <w:sz w:val="20"/>
        </w:rPr>
        <w:t>3.</w:t>
        <w:tab/>
      </w:r>
      <w:r>
        <w:rPr>
          <w:rFonts w:ascii="Wingdings" w:hAnsi="Wingdings"/>
          <w:sz w:val="20"/>
        </w:rPr>
        <w:t></w:t>
      </w:r>
      <w:r>
        <w:rPr>
          <w:rFonts w:ascii="Wingdings" w:hAnsi="Wingdings"/>
          <w:spacing w:val="-162"/>
          <w:sz w:val="20"/>
        </w:rPr>
        <w:t> </w:t>
      </w:r>
      <w:r>
        <w:rPr>
          <w:rFonts w:ascii="Arial Narrow" w:hAnsi="Arial Narrow"/>
          <w:b/>
          <w:sz w:val="20"/>
        </w:rPr>
        <w:t>Operative 1/7/18 # Unless otherwise indicated NZ, PG, FI, DC, LDC and SG rates are</w:t>
      </w:r>
      <w:r>
        <w:rPr>
          <w:rFonts w:ascii="Arial Narrow" w:hAnsi="Arial Narrow"/>
          <w:b/>
          <w:spacing w:val="2"/>
          <w:sz w:val="20"/>
        </w:rPr>
        <w:t> </w:t>
      </w:r>
      <w:r>
        <w:rPr>
          <w:rFonts w:ascii="Arial Narrow" w:hAnsi="Arial Narrow"/>
          <w:b/>
          <w:sz w:val="20"/>
        </w:rPr>
        <w:t>Free.</w:t>
      </w:r>
    </w:p>
    <w:p>
      <w:pPr>
        <w:pStyle w:val="BodyText"/>
        <w:spacing w:line="190" w:lineRule="exact"/>
        <w:ind w:left="1706"/>
      </w:pPr>
      <w:r>
        <w:rPr/>
        <w:t>Unless otherwise indicated general rate applies for CA.</w:t>
      </w:r>
    </w:p>
    <w:p>
      <w:pPr>
        <w:pStyle w:val="BodyText"/>
        <w:spacing w:line="211" w:lineRule="auto" w:before="8"/>
        <w:ind w:left="1706" w:right="1151"/>
      </w:pPr>
      <w:r>
        <w:rPr/>
        <w:t>Unless otherwise indicated rates for US, Thai, Chilean, AANZ, Malaysian, Korean, Japanese and Chinese originating goods are Free.</w:t>
      </w:r>
    </w:p>
    <w:p>
      <w:pPr>
        <w:pStyle w:val="BodyText"/>
        <w:spacing w:line="208" w:lineRule="auto"/>
        <w:ind w:left="1706" w:right="3412"/>
      </w:pPr>
      <w:r>
        <w:rPr/>
        <w:t>DCS denotes the rate for countries and places listed in Part 4 of Schedule 1 to this Act. DCT denotes the rate for HK, KR, SG and TW.</w:t>
      </w:r>
    </w:p>
    <w:p>
      <w:pPr>
        <w:pStyle w:val="BodyText"/>
        <w:spacing w:line="207" w:lineRule="exact"/>
        <w:ind w:left="1706"/>
      </w:pPr>
      <w:r>
        <w:rPr/>
        <w:t>If no DCT rate shown, DCS rate applies. If no DCT or DCS rate shown, general rate applies.</w:t>
      </w:r>
    </w:p>
    <w:p>
      <w:pPr>
        <w:spacing w:after="0" w:line="207" w:lineRule="exact"/>
        <w:sectPr>
          <w:type w:val="continuous"/>
          <w:pgSz w:w="11910" w:h="16840"/>
          <w:pgMar w:top="0" w:bottom="280" w:left="0" w:right="0"/>
        </w:sectPr>
      </w:pPr>
    </w:p>
    <w:p>
      <w:pPr>
        <w:pStyle w:val="BodyText"/>
        <w:spacing w:before="5"/>
        <w:rPr>
          <w:sz w:val="17"/>
        </w:rPr>
      </w:pPr>
    </w:p>
    <w:p>
      <w:pPr>
        <w:spacing w:after="0"/>
        <w:rPr>
          <w:sz w:val="17"/>
        </w:rPr>
        <w:sectPr>
          <w:pgSz w:w="11910" w:h="16840"/>
          <w:pgMar w:top="1580" w:bottom="280" w:left="0" w:right="0"/>
        </w:sectPr>
      </w:pPr>
    </w:p>
    <w:p>
      <w:pPr>
        <w:spacing w:line="348" w:lineRule="auto" w:before="64"/>
        <w:ind w:left="3436" w:right="2682" w:firstLine="0"/>
        <w:jc w:val="center"/>
        <w:rPr>
          <w:rFonts w:ascii="Arial"/>
          <w:b/>
          <w:sz w:val="24"/>
        </w:rPr>
      </w:pPr>
      <w:r>
        <w:rPr>
          <w:rFonts w:ascii="Arial"/>
          <w:b/>
          <w:sz w:val="24"/>
        </w:rPr>
        <w:t>SCHEDULE OF CONCESSIONAL INSTRUMENTS PART II</w:t>
      </w:r>
    </w:p>
    <w:p>
      <w:pPr>
        <w:spacing w:line="345" w:lineRule="auto" w:before="2"/>
        <w:ind w:left="3437" w:right="2682" w:firstLine="0"/>
        <w:jc w:val="center"/>
        <w:rPr>
          <w:rFonts w:ascii="Arial"/>
          <w:b/>
          <w:sz w:val="24"/>
        </w:rPr>
      </w:pPr>
      <w:r>
        <w:rPr>
          <w:rFonts w:ascii="Arial"/>
          <w:b/>
          <w:sz w:val="24"/>
        </w:rPr>
        <w:t>INSTRUMENTS ISSUED TO ITEMS IN SCHEDULE 4 CUSTOMS TARIFF ACT 1995</w:t>
      </w:r>
    </w:p>
    <w:p>
      <w:pPr>
        <w:pStyle w:val="BodyText"/>
        <w:spacing w:before="42"/>
        <w:ind w:right="792"/>
        <w:jc w:val="right"/>
        <w:rPr>
          <w:rFonts w:ascii="Arial"/>
        </w:rPr>
      </w:pPr>
      <w:r>
        <w:rPr>
          <w:rFonts w:ascii="Arial"/>
        </w:rPr>
        <w:t>Part 2/79</w:t>
      </w:r>
    </w:p>
    <w:p>
      <w:pPr>
        <w:pStyle w:val="BodyText"/>
        <w:ind w:left="1534"/>
        <w:rPr>
          <w:rFonts w:ascii="Arial"/>
          <w:b w:val="0"/>
        </w:rPr>
      </w:pPr>
      <w:r>
        <w:rPr>
          <w:rFonts w:ascii="Arial"/>
          <w:b w:val="0"/>
        </w:rPr>
        <w:pict>
          <v:group style="width:480.35pt;height:35.8pt;mso-position-horizontal-relative:char;mso-position-vertical-relative:line" coordorigin="0,0" coordsize="9607,716">
            <v:shape style="position:absolute;left:0;top:0;width:9607;height:716" coordorigin="0,0" coordsize="9607,716" path="m8267,701l1574,701,1560,701,581,701,581,701,566,701,0,701,0,715,566,715,581,715,581,715,1560,715,1574,715,8267,715,8267,701xm8267,0l1589,0,1574,0,595,0,581,0,581,0,14,0,14,14,581,14,581,14,595,14,1574,14,1589,14,8267,14,8267,0xm9607,0l8282,0,8267,0,8267,14,8267,701,8267,715,8282,715,9607,715,9607,701,8282,701,8282,14,9607,14,9607,0xe" filled="true" fillcolor="#000000" stroked="false">
              <v:path arrowok="t"/>
              <v:fill type="solid"/>
            </v:shape>
            <v:shape style="position:absolute;left:122;top:51;width:357;height:229" type="#_x0000_t202" filled="false" stroked="false">
              <v:textbox inset="0,0,0,0">
                <w:txbxContent>
                  <w:p>
                    <w:pPr>
                      <w:spacing w:before="0"/>
                      <w:ind w:left="0" w:right="0" w:firstLine="0"/>
                      <w:jc w:val="left"/>
                      <w:rPr>
                        <w:rFonts w:ascii="Arial Narrow"/>
                        <w:b/>
                        <w:sz w:val="20"/>
                      </w:rPr>
                    </w:pPr>
                    <w:r>
                      <w:rPr>
                        <w:rFonts w:ascii="Arial Narrow"/>
                        <w:b/>
                        <w:sz w:val="20"/>
                      </w:rPr>
                      <w:t>Item</w:t>
                    </w:r>
                  </w:p>
                </w:txbxContent>
              </v:textbox>
              <w10:wrap type="none"/>
            </v:shape>
            <v:shape style="position:absolute;left:813;top:51;width:548;height:428" type="#_x0000_t202" filled="false" stroked="false">
              <v:textbox inset="0,0,0,0">
                <w:txbxContent>
                  <w:p>
                    <w:pPr>
                      <w:spacing w:line="208" w:lineRule="auto" w:before="24"/>
                      <w:ind w:left="132" w:right="0" w:hanging="132"/>
                      <w:jc w:val="left"/>
                      <w:rPr>
                        <w:rFonts w:ascii="Arial Narrow"/>
                        <w:b/>
                        <w:sz w:val="20"/>
                      </w:rPr>
                    </w:pPr>
                    <w:r>
                      <w:rPr>
                        <w:rFonts w:ascii="Arial Narrow"/>
                        <w:b/>
                        <w:w w:val="95"/>
                        <w:sz w:val="20"/>
                      </w:rPr>
                      <w:t>By-law </w:t>
                    </w:r>
                    <w:r>
                      <w:rPr>
                        <w:rFonts w:ascii="Arial Narrow"/>
                        <w:b/>
                        <w:sz w:val="20"/>
                      </w:rPr>
                      <w:t>No.</w:t>
                    </w:r>
                  </w:p>
                </w:txbxContent>
              </v:textbox>
              <w10:wrap type="none"/>
            </v:shape>
            <v:shape style="position:absolute;left:4090;top:51;width:1688;height:229" type="#_x0000_t202" filled="false" stroked="false">
              <v:textbox inset="0,0,0,0">
                <w:txbxContent>
                  <w:p>
                    <w:pPr>
                      <w:spacing w:before="0"/>
                      <w:ind w:left="0" w:right="0" w:firstLine="0"/>
                      <w:jc w:val="left"/>
                      <w:rPr>
                        <w:rFonts w:ascii="Arial Narrow"/>
                        <w:b/>
                        <w:sz w:val="20"/>
                      </w:rPr>
                    </w:pPr>
                    <w:r>
                      <w:rPr>
                        <w:rFonts w:ascii="Arial Narrow"/>
                        <w:b/>
                        <w:sz w:val="20"/>
                      </w:rPr>
                      <w:t>Description of Goods</w:t>
                    </w:r>
                  </w:p>
                </w:txbxContent>
              </v:textbox>
              <w10:wrap type="none"/>
            </v:shape>
            <v:shape style="position:absolute;left:8538;top:51;width:821;height:488" type="#_x0000_t202" filled="false" stroked="false">
              <v:textbox inset="0,0,0,0">
                <w:txbxContent>
                  <w:p>
                    <w:pPr>
                      <w:spacing w:line="271" w:lineRule="auto" w:before="0"/>
                      <w:ind w:left="55" w:right="0" w:hanging="56"/>
                      <w:jc w:val="left"/>
                      <w:rPr>
                        <w:rFonts w:ascii="Arial Narrow"/>
                        <w:b/>
                        <w:sz w:val="20"/>
                      </w:rPr>
                    </w:pPr>
                    <w:r>
                      <w:rPr>
                        <w:rFonts w:ascii="Arial Narrow"/>
                        <w:b/>
                        <w:sz w:val="20"/>
                      </w:rPr>
                      <w:t>Start date/ End date</w:t>
                    </w:r>
                  </w:p>
                </w:txbxContent>
              </v:textbox>
              <w10:wrap type="none"/>
            </v:shape>
          </v:group>
        </w:pict>
      </w:r>
      <w:r>
        <w:rPr>
          <w:rFonts w:ascii="Arial"/>
          <w:b w:val="0"/>
        </w:rPr>
      </w:r>
    </w:p>
    <w:p>
      <w:pPr>
        <w:pStyle w:val="BodyText"/>
        <w:spacing w:before="6" w:after="1"/>
        <w:rPr>
          <w:rFonts w:ascii="Arial"/>
          <w:sz w:val="14"/>
        </w:rPr>
      </w:pPr>
    </w:p>
    <w:tbl>
      <w:tblPr>
        <w:tblW w:w="0" w:type="auto"/>
        <w:jc w:val="left"/>
        <w:tblInd w:w="1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3"/>
        <w:gridCol w:w="492"/>
        <w:gridCol w:w="1082"/>
        <w:gridCol w:w="6735"/>
        <w:gridCol w:w="1491"/>
      </w:tblGrid>
      <w:tr>
        <w:trPr>
          <w:trHeight w:val="8227" w:hRule="atLeast"/>
        </w:trPr>
        <w:tc>
          <w:tcPr>
            <w:tcW w:w="433" w:type="dxa"/>
          </w:tcPr>
          <w:p>
            <w:pPr>
              <w:pStyle w:val="TableParagraph"/>
              <w:rPr>
                <w:rFonts w:ascii="Arial"/>
                <w:b/>
                <w:sz w:val="22"/>
              </w:rPr>
            </w:pPr>
          </w:p>
          <w:p>
            <w:pPr>
              <w:pStyle w:val="TableParagraph"/>
              <w:spacing w:before="5"/>
              <w:rPr>
                <w:rFonts w:ascii="Arial"/>
                <w:b/>
                <w:sz w:val="17"/>
              </w:rPr>
            </w:pPr>
          </w:p>
          <w:p>
            <w:pPr>
              <w:pStyle w:val="TableParagraph"/>
              <w:ind w:left="200"/>
              <w:rPr>
                <w:rFonts w:ascii="Wingdings" w:hAnsi="Wingdings"/>
                <w:sz w:val="20"/>
              </w:rPr>
            </w:pPr>
            <w:r>
              <w:rPr>
                <w:rFonts w:ascii="Wingdings" w:hAnsi="Wingdings"/>
                <w:w w:val="99"/>
                <w:sz w:val="20"/>
              </w:rPr>
              <w:t></w:t>
            </w:r>
          </w:p>
        </w:tc>
        <w:tc>
          <w:tcPr>
            <w:tcW w:w="492" w:type="dxa"/>
          </w:tcPr>
          <w:p>
            <w:pPr>
              <w:pStyle w:val="TableParagraph"/>
              <w:rPr>
                <w:rFonts w:ascii="Arial"/>
                <w:b/>
                <w:sz w:val="22"/>
              </w:rPr>
            </w:pPr>
          </w:p>
          <w:p>
            <w:pPr>
              <w:pStyle w:val="TableParagraph"/>
              <w:spacing w:before="10"/>
              <w:rPr>
                <w:rFonts w:ascii="Arial"/>
                <w:b/>
                <w:sz w:val="17"/>
              </w:rPr>
            </w:pPr>
          </w:p>
          <w:p>
            <w:pPr>
              <w:pStyle w:val="TableParagraph"/>
              <w:ind w:left="55"/>
              <w:rPr>
                <w:b/>
                <w:sz w:val="20"/>
              </w:rPr>
            </w:pPr>
            <w:r>
              <w:rPr>
                <w:b/>
                <w:sz w:val="20"/>
              </w:rPr>
              <w:t>56</w:t>
            </w:r>
          </w:p>
        </w:tc>
        <w:tc>
          <w:tcPr>
            <w:tcW w:w="1082" w:type="dxa"/>
          </w:tcPr>
          <w:p>
            <w:pPr>
              <w:pStyle w:val="TableParagraph"/>
              <w:rPr>
                <w:rFonts w:ascii="Arial"/>
                <w:b/>
                <w:sz w:val="22"/>
              </w:rPr>
            </w:pPr>
          </w:p>
          <w:p>
            <w:pPr>
              <w:pStyle w:val="TableParagraph"/>
              <w:spacing w:before="10"/>
              <w:rPr>
                <w:rFonts w:ascii="Arial"/>
                <w:b/>
                <w:sz w:val="17"/>
              </w:rPr>
            </w:pPr>
          </w:p>
          <w:p>
            <w:pPr>
              <w:pStyle w:val="TableParagraph"/>
              <w:ind w:left="234"/>
              <w:rPr>
                <w:b/>
                <w:sz w:val="20"/>
              </w:rPr>
            </w:pPr>
            <w:r>
              <w:rPr>
                <w:b/>
                <w:sz w:val="20"/>
              </w:rPr>
              <w:t>1800128</w:t>
            </w:r>
          </w:p>
        </w:tc>
        <w:tc>
          <w:tcPr>
            <w:tcW w:w="6735" w:type="dxa"/>
            <w:tcBorders>
              <w:right w:val="single" w:sz="6" w:space="0" w:color="000000"/>
            </w:tcBorders>
          </w:tcPr>
          <w:p>
            <w:pPr>
              <w:pStyle w:val="TableParagraph"/>
              <w:spacing w:line="228" w:lineRule="exact"/>
              <w:ind w:left="146"/>
              <w:rPr>
                <w:b/>
                <w:sz w:val="20"/>
              </w:rPr>
            </w:pPr>
            <w:r>
              <w:rPr>
                <w:b/>
                <w:sz w:val="20"/>
                <w:u w:val="single"/>
              </w:rPr>
              <w:t>Clinical trials kits containing placebos and/or medicaments</w:t>
            </w:r>
          </w:p>
          <w:p>
            <w:pPr>
              <w:pStyle w:val="TableParagraph"/>
              <w:spacing w:before="7"/>
              <w:rPr>
                <w:rFonts w:ascii="Arial"/>
                <w:b/>
                <w:sz w:val="19"/>
              </w:rPr>
            </w:pPr>
          </w:p>
          <w:p>
            <w:pPr>
              <w:pStyle w:val="TableParagraph"/>
              <w:numPr>
                <w:ilvl w:val="0"/>
                <w:numId w:val="7"/>
              </w:numPr>
              <w:tabs>
                <w:tab w:pos="713" w:val="left" w:leader="none"/>
                <w:tab w:pos="714" w:val="left" w:leader="none"/>
              </w:tabs>
              <w:spacing w:line="240" w:lineRule="auto" w:before="0" w:after="0"/>
              <w:ind w:left="713" w:right="0" w:hanging="568"/>
              <w:jc w:val="left"/>
              <w:rPr>
                <w:sz w:val="20"/>
              </w:rPr>
            </w:pPr>
            <w:r>
              <w:rPr>
                <w:sz w:val="20"/>
              </w:rPr>
              <w:t>This by-law may be cited as Customs By-law No.</w:t>
            </w:r>
            <w:r>
              <w:rPr>
                <w:spacing w:val="-7"/>
                <w:sz w:val="20"/>
              </w:rPr>
              <w:t> </w:t>
            </w:r>
            <w:r>
              <w:rPr>
                <w:sz w:val="20"/>
              </w:rPr>
              <w:t>1800128.</w:t>
            </w:r>
          </w:p>
          <w:p>
            <w:pPr>
              <w:pStyle w:val="TableParagraph"/>
              <w:spacing w:before="1"/>
              <w:rPr>
                <w:rFonts w:ascii="Arial"/>
                <w:b/>
                <w:sz w:val="20"/>
              </w:rPr>
            </w:pPr>
          </w:p>
          <w:p>
            <w:pPr>
              <w:pStyle w:val="TableParagraph"/>
              <w:numPr>
                <w:ilvl w:val="0"/>
                <w:numId w:val="7"/>
              </w:numPr>
              <w:tabs>
                <w:tab w:pos="713" w:val="left" w:leader="none"/>
                <w:tab w:pos="714" w:val="left" w:leader="none"/>
              </w:tabs>
              <w:spacing w:line="240" w:lineRule="auto" w:before="0" w:after="0"/>
              <w:ind w:left="713" w:right="0" w:hanging="568"/>
              <w:jc w:val="left"/>
              <w:rPr>
                <w:sz w:val="20"/>
              </w:rPr>
            </w:pPr>
            <w:r>
              <w:rPr>
                <w:sz w:val="20"/>
              </w:rPr>
              <w:t>This by-law commences on 1 July</w:t>
            </w:r>
            <w:r>
              <w:rPr>
                <w:spacing w:val="-6"/>
                <w:sz w:val="20"/>
              </w:rPr>
              <w:t> </w:t>
            </w:r>
            <w:r>
              <w:rPr>
                <w:sz w:val="20"/>
              </w:rPr>
              <w:t>2018.</w:t>
            </w:r>
          </w:p>
          <w:p>
            <w:pPr>
              <w:pStyle w:val="TableParagraph"/>
              <w:spacing w:before="10"/>
              <w:rPr>
                <w:rFonts w:ascii="Arial"/>
                <w:b/>
                <w:sz w:val="19"/>
              </w:rPr>
            </w:pPr>
          </w:p>
          <w:p>
            <w:pPr>
              <w:pStyle w:val="TableParagraph"/>
              <w:numPr>
                <w:ilvl w:val="0"/>
                <w:numId w:val="7"/>
              </w:numPr>
              <w:tabs>
                <w:tab w:pos="713" w:val="left" w:leader="none"/>
                <w:tab w:pos="714" w:val="left" w:leader="none"/>
              </w:tabs>
              <w:spacing w:line="240" w:lineRule="auto" w:before="0" w:after="0"/>
              <w:ind w:left="713" w:right="363" w:hanging="567"/>
              <w:jc w:val="left"/>
              <w:rPr>
                <w:sz w:val="20"/>
              </w:rPr>
            </w:pPr>
            <w:r>
              <w:rPr>
                <w:sz w:val="20"/>
              </w:rPr>
              <w:t>For the purposes of subparagraph (a)(i) of item 56 of Schedule 4 to</w:t>
            </w:r>
            <w:r>
              <w:rPr>
                <w:spacing w:val="-27"/>
                <w:sz w:val="20"/>
              </w:rPr>
              <w:t> </w:t>
            </w:r>
            <w:r>
              <w:rPr>
                <w:sz w:val="20"/>
              </w:rPr>
              <w:t>the </w:t>
            </w:r>
            <w:r>
              <w:rPr>
                <w:i/>
                <w:sz w:val="20"/>
              </w:rPr>
              <w:t>Customs Tariff Act 1995 </w:t>
            </w:r>
            <w:r>
              <w:rPr>
                <w:sz w:val="20"/>
              </w:rPr>
              <w:t>(the Customs Tariff Act), the following requirements are</w:t>
            </w:r>
            <w:r>
              <w:rPr>
                <w:spacing w:val="-2"/>
                <w:sz w:val="20"/>
              </w:rPr>
              <w:t> </w:t>
            </w:r>
            <w:r>
              <w:rPr>
                <w:sz w:val="20"/>
              </w:rPr>
              <w:t>prescribed:</w:t>
            </w:r>
          </w:p>
          <w:p>
            <w:pPr>
              <w:pStyle w:val="TableParagraph"/>
              <w:spacing w:before="2"/>
              <w:rPr>
                <w:rFonts w:ascii="Arial"/>
                <w:b/>
                <w:sz w:val="20"/>
              </w:rPr>
            </w:pPr>
          </w:p>
          <w:p>
            <w:pPr>
              <w:pStyle w:val="TableParagraph"/>
              <w:numPr>
                <w:ilvl w:val="1"/>
                <w:numId w:val="7"/>
              </w:numPr>
              <w:tabs>
                <w:tab w:pos="1565" w:val="left" w:leader="none"/>
                <w:tab w:pos="1566" w:val="left" w:leader="none"/>
              </w:tabs>
              <w:spacing w:line="240" w:lineRule="auto" w:before="0" w:after="0"/>
              <w:ind w:left="1565" w:right="116" w:hanging="389"/>
              <w:jc w:val="left"/>
              <w:rPr>
                <w:sz w:val="20"/>
              </w:rPr>
            </w:pPr>
            <w:r>
              <w:rPr>
                <w:sz w:val="20"/>
              </w:rPr>
              <w:t>the kits do not indicate whether their contents are</w:t>
            </w:r>
            <w:r>
              <w:rPr>
                <w:spacing w:val="-19"/>
                <w:sz w:val="20"/>
              </w:rPr>
              <w:t> </w:t>
            </w:r>
            <w:r>
              <w:rPr>
                <w:sz w:val="20"/>
              </w:rPr>
              <w:t>medicaments or placebos;</w:t>
            </w:r>
            <w:r>
              <w:rPr>
                <w:spacing w:val="-2"/>
                <w:sz w:val="20"/>
              </w:rPr>
              <w:t> </w:t>
            </w:r>
            <w:r>
              <w:rPr>
                <w:sz w:val="20"/>
              </w:rPr>
              <w:t>and</w:t>
            </w:r>
          </w:p>
          <w:p>
            <w:pPr>
              <w:pStyle w:val="TableParagraph"/>
              <w:spacing w:before="10"/>
              <w:rPr>
                <w:rFonts w:ascii="Arial"/>
                <w:b/>
                <w:sz w:val="19"/>
              </w:rPr>
            </w:pPr>
          </w:p>
          <w:p>
            <w:pPr>
              <w:pStyle w:val="TableParagraph"/>
              <w:numPr>
                <w:ilvl w:val="1"/>
                <w:numId w:val="7"/>
              </w:numPr>
              <w:tabs>
                <w:tab w:pos="1565" w:val="left" w:leader="none"/>
                <w:tab w:pos="1566" w:val="left" w:leader="none"/>
              </w:tabs>
              <w:spacing w:line="240" w:lineRule="auto" w:before="1" w:after="0"/>
              <w:ind w:left="1565" w:right="0" w:hanging="447"/>
              <w:jc w:val="left"/>
              <w:rPr>
                <w:sz w:val="20"/>
              </w:rPr>
            </w:pPr>
            <w:r>
              <w:rPr>
                <w:sz w:val="20"/>
              </w:rPr>
              <w:t>the kits do not contain goods other</w:t>
            </w:r>
            <w:r>
              <w:rPr>
                <w:spacing w:val="-5"/>
                <w:sz w:val="20"/>
              </w:rPr>
              <w:t> </w:t>
            </w:r>
            <w:r>
              <w:rPr>
                <w:sz w:val="20"/>
              </w:rPr>
              <w:t>than:</w:t>
            </w:r>
          </w:p>
          <w:p>
            <w:pPr>
              <w:pStyle w:val="TableParagraph"/>
              <w:rPr>
                <w:rFonts w:ascii="Arial"/>
                <w:b/>
                <w:sz w:val="20"/>
              </w:rPr>
            </w:pPr>
          </w:p>
          <w:p>
            <w:pPr>
              <w:pStyle w:val="TableParagraph"/>
              <w:numPr>
                <w:ilvl w:val="2"/>
                <w:numId w:val="7"/>
              </w:numPr>
              <w:tabs>
                <w:tab w:pos="2273" w:val="left" w:leader="none"/>
                <w:tab w:pos="2274" w:val="left" w:leader="none"/>
              </w:tabs>
              <w:spacing w:line="240" w:lineRule="auto" w:before="0" w:after="0"/>
              <w:ind w:left="2273" w:right="325" w:hanging="708"/>
              <w:jc w:val="left"/>
              <w:rPr>
                <w:sz w:val="20"/>
              </w:rPr>
            </w:pPr>
            <w:r>
              <w:rPr>
                <w:sz w:val="20"/>
              </w:rPr>
              <w:t>the medicaments and/or placebos, whether or not</w:t>
            </w:r>
            <w:r>
              <w:rPr>
                <w:spacing w:val="-20"/>
                <w:sz w:val="20"/>
              </w:rPr>
              <w:t> </w:t>
            </w:r>
            <w:r>
              <w:rPr>
                <w:sz w:val="20"/>
              </w:rPr>
              <w:t>in syringes or other delivery</w:t>
            </w:r>
            <w:r>
              <w:rPr>
                <w:spacing w:val="-3"/>
                <w:sz w:val="20"/>
              </w:rPr>
              <w:t> </w:t>
            </w:r>
            <w:r>
              <w:rPr>
                <w:sz w:val="20"/>
              </w:rPr>
              <w:t>mechanisms;</w:t>
            </w:r>
          </w:p>
          <w:p>
            <w:pPr>
              <w:pStyle w:val="TableParagraph"/>
              <w:numPr>
                <w:ilvl w:val="2"/>
                <w:numId w:val="7"/>
              </w:numPr>
              <w:tabs>
                <w:tab w:pos="2273" w:val="left" w:leader="none"/>
                <w:tab w:pos="2274" w:val="left" w:leader="none"/>
              </w:tabs>
              <w:spacing w:line="240" w:lineRule="auto" w:before="0" w:after="0"/>
              <w:ind w:left="2273" w:right="178" w:hanging="708"/>
              <w:jc w:val="left"/>
              <w:rPr>
                <w:sz w:val="20"/>
              </w:rPr>
            </w:pPr>
            <w:r>
              <w:rPr>
                <w:sz w:val="20"/>
              </w:rPr>
              <w:t>any item or packaging which is necessary for the</w:t>
            </w:r>
            <w:r>
              <w:rPr>
                <w:spacing w:val="-22"/>
                <w:sz w:val="20"/>
              </w:rPr>
              <w:t> </w:t>
            </w:r>
            <w:r>
              <w:rPr>
                <w:sz w:val="20"/>
              </w:rPr>
              <w:t>safe transport and/or storage of the</w:t>
            </w:r>
            <w:r>
              <w:rPr>
                <w:spacing w:val="-4"/>
                <w:sz w:val="20"/>
              </w:rPr>
              <w:t> </w:t>
            </w:r>
            <w:r>
              <w:rPr>
                <w:sz w:val="20"/>
              </w:rPr>
              <w:t>goods;</w:t>
            </w:r>
          </w:p>
          <w:p>
            <w:pPr>
              <w:pStyle w:val="TableParagraph"/>
              <w:numPr>
                <w:ilvl w:val="2"/>
                <w:numId w:val="7"/>
              </w:numPr>
              <w:tabs>
                <w:tab w:pos="2273" w:val="left" w:leader="none"/>
                <w:tab w:pos="2274" w:val="left" w:leader="none"/>
              </w:tabs>
              <w:spacing w:line="240" w:lineRule="auto" w:before="0" w:after="0"/>
              <w:ind w:left="2273" w:right="554" w:hanging="708"/>
              <w:jc w:val="left"/>
              <w:rPr>
                <w:sz w:val="20"/>
              </w:rPr>
            </w:pPr>
            <w:r>
              <w:rPr>
                <w:sz w:val="20"/>
              </w:rPr>
              <w:t>any associated and necessary documentation</w:t>
            </w:r>
            <w:r>
              <w:rPr>
                <w:spacing w:val="-17"/>
                <w:sz w:val="20"/>
              </w:rPr>
              <w:t> </w:t>
            </w:r>
            <w:r>
              <w:rPr>
                <w:sz w:val="20"/>
              </w:rPr>
              <w:t>and forms.</w:t>
            </w:r>
          </w:p>
          <w:p>
            <w:pPr>
              <w:pStyle w:val="TableParagraph"/>
              <w:spacing w:before="1"/>
              <w:rPr>
                <w:rFonts w:ascii="Arial"/>
                <w:b/>
                <w:sz w:val="20"/>
              </w:rPr>
            </w:pPr>
          </w:p>
          <w:p>
            <w:pPr>
              <w:pStyle w:val="TableParagraph"/>
              <w:numPr>
                <w:ilvl w:val="0"/>
                <w:numId w:val="7"/>
              </w:numPr>
              <w:tabs>
                <w:tab w:pos="713" w:val="left" w:leader="none"/>
                <w:tab w:pos="714" w:val="left" w:leader="none"/>
              </w:tabs>
              <w:spacing w:line="240" w:lineRule="auto" w:before="0" w:after="0"/>
              <w:ind w:left="713" w:right="550" w:hanging="567"/>
              <w:jc w:val="left"/>
              <w:rPr>
                <w:sz w:val="20"/>
              </w:rPr>
            </w:pPr>
            <w:r>
              <w:rPr>
                <w:sz w:val="20"/>
              </w:rPr>
              <w:t>For the purposes of subparagraph 3(i), identifiers, regardless of</w:t>
            </w:r>
            <w:r>
              <w:rPr>
                <w:spacing w:val="-26"/>
                <w:sz w:val="20"/>
              </w:rPr>
              <w:t> </w:t>
            </w:r>
            <w:r>
              <w:rPr>
                <w:sz w:val="20"/>
              </w:rPr>
              <w:t>their form, that cannot be deciphered without additional information or equipment, do not indicate whether the contents of the kit are medicaments or</w:t>
            </w:r>
            <w:r>
              <w:rPr>
                <w:spacing w:val="-2"/>
                <w:sz w:val="20"/>
              </w:rPr>
              <w:t> </w:t>
            </w:r>
            <w:r>
              <w:rPr>
                <w:sz w:val="20"/>
              </w:rPr>
              <w:t>placebos.</w:t>
            </w:r>
          </w:p>
          <w:p>
            <w:pPr>
              <w:pStyle w:val="TableParagraph"/>
              <w:rPr>
                <w:rFonts w:ascii="Arial"/>
                <w:b/>
                <w:sz w:val="20"/>
              </w:rPr>
            </w:pPr>
          </w:p>
          <w:p>
            <w:pPr>
              <w:pStyle w:val="TableParagraph"/>
              <w:numPr>
                <w:ilvl w:val="0"/>
                <w:numId w:val="7"/>
              </w:numPr>
              <w:tabs>
                <w:tab w:pos="713" w:val="left" w:leader="none"/>
                <w:tab w:pos="714" w:val="left" w:leader="none"/>
              </w:tabs>
              <w:spacing w:line="240" w:lineRule="auto" w:before="0" w:after="0"/>
              <w:ind w:left="713" w:right="163" w:hanging="567"/>
              <w:jc w:val="left"/>
              <w:rPr>
                <w:sz w:val="20"/>
              </w:rPr>
            </w:pPr>
            <w:r>
              <w:rPr>
                <w:sz w:val="20"/>
              </w:rPr>
              <w:t>For the purpose of this by-law “placebo” means a good not containing</w:t>
            </w:r>
            <w:r>
              <w:rPr>
                <w:spacing w:val="-22"/>
                <w:sz w:val="20"/>
              </w:rPr>
              <w:t> </w:t>
            </w:r>
            <w:r>
              <w:rPr>
                <w:sz w:val="20"/>
              </w:rPr>
              <w:t>an active agent under study, administered to some participants to compare the effects of the active agent to other</w:t>
            </w:r>
            <w:r>
              <w:rPr>
                <w:spacing w:val="-5"/>
                <w:sz w:val="20"/>
              </w:rPr>
              <w:t> </w:t>
            </w:r>
            <w:r>
              <w:rPr>
                <w:sz w:val="20"/>
              </w:rPr>
              <w:t>participants.</w:t>
            </w:r>
          </w:p>
          <w:p>
            <w:pPr>
              <w:pStyle w:val="TableParagraph"/>
              <w:spacing w:before="9"/>
              <w:rPr>
                <w:rFonts w:ascii="Arial"/>
                <w:b/>
                <w:sz w:val="19"/>
              </w:rPr>
            </w:pPr>
          </w:p>
          <w:p>
            <w:pPr>
              <w:pStyle w:val="TableParagraph"/>
              <w:numPr>
                <w:ilvl w:val="0"/>
                <w:numId w:val="7"/>
              </w:numPr>
              <w:tabs>
                <w:tab w:pos="713" w:val="left" w:leader="none"/>
                <w:tab w:pos="714" w:val="left" w:leader="none"/>
              </w:tabs>
              <w:spacing w:line="272" w:lineRule="exact" w:before="1" w:after="0"/>
              <w:ind w:left="713" w:right="0" w:hanging="568"/>
              <w:jc w:val="left"/>
              <w:rPr>
                <w:sz w:val="24"/>
              </w:rPr>
            </w:pPr>
            <w:r>
              <w:rPr>
                <w:sz w:val="20"/>
              </w:rPr>
              <w:t>For the purpose of this by-law, the “</w:t>
            </w:r>
            <w:r>
              <w:rPr>
                <w:i/>
                <w:sz w:val="20"/>
              </w:rPr>
              <w:t>Customs Tariff Act 1995</w:t>
            </w:r>
            <w:r>
              <w:rPr>
                <w:sz w:val="20"/>
              </w:rPr>
              <w:t>” means</w:t>
            </w:r>
            <w:r>
              <w:rPr>
                <w:spacing w:val="-15"/>
                <w:sz w:val="20"/>
              </w:rPr>
              <w:t> </w:t>
            </w:r>
            <w:r>
              <w:rPr>
                <w:sz w:val="20"/>
              </w:rPr>
              <w:t>the</w:t>
            </w:r>
          </w:p>
          <w:p>
            <w:pPr>
              <w:pStyle w:val="TableParagraph"/>
              <w:spacing w:line="226" w:lineRule="exact"/>
              <w:ind w:left="713"/>
              <w:rPr>
                <w:i/>
                <w:sz w:val="20"/>
              </w:rPr>
            </w:pPr>
            <w:r>
              <w:rPr>
                <w:i/>
                <w:sz w:val="20"/>
              </w:rPr>
              <w:t>Customs Tariff Act 1995, </w:t>
            </w:r>
            <w:r>
              <w:rPr>
                <w:sz w:val="20"/>
              </w:rPr>
              <w:t>as amended or proposed to be altered</w:t>
            </w:r>
            <w:r>
              <w:rPr>
                <w:i/>
                <w:sz w:val="20"/>
              </w:rPr>
              <w:t>.</w:t>
            </w:r>
          </w:p>
        </w:tc>
        <w:tc>
          <w:tcPr>
            <w:tcW w:w="1491" w:type="dxa"/>
            <w:tcBorders>
              <w:left w:val="single" w:sz="6" w:space="0" w:color="000000"/>
            </w:tcBorders>
          </w:tcPr>
          <w:p>
            <w:pPr>
              <w:pStyle w:val="TableParagraph"/>
              <w:rPr>
                <w:rFonts w:ascii="Arial"/>
                <w:b/>
                <w:sz w:val="22"/>
              </w:rPr>
            </w:pPr>
          </w:p>
          <w:p>
            <w:pPr>
              <w:pStyle w:val="TableParagraph"/>
              <w:spacing w:before="172"/>
              <w:ind w:left="574"/>
              <w:rPr>
                <w:b/>
                <w:sz w:val="20"/>
              </w:rPr>
            </w:pPr>
            <w:r>
              <w:rPr>
                <w:b/>
                <w:sz w:val="20"/>
              </w:rPr>
              <w:t>1/7/2018</w:t>
            </w:r>
          </w:p>
        </w:tc>
      </w:tr>
      <w:tr>
        <w:trPr>
          <w:trHeight w:val="1054" w:hRule="atLeast"/>
        </w:trPr>
        <w:tc>
          <w:tcPr>
            <w:tcW w:w="433" w:type="dxa"/>
          </w:tcPr>
          <w:p>
            <w:pPr>
              <w:pStyle w:val="TableParagraph"/>
              <w:rPr>
                <w:sz w:val="20"/>
              </w:rPr>
            </w:pPr>
          </w:p>
        </w:tc>
        <w:tc>
          <w:tcPr>
            <w:tcW w:w="492" w:type="dxa"/>
          </w:tcPr>
          <w:p>
            <w:pPr>
              <w:pStyle w:val="TableParagraph"/>
              <w:rPr>
                <w:sz w:val="20"/>
              </w:rPr>
            </w:pPr>
          </w:p>
        </w:tc>
        <w:tc>
          <w:tcPr>
            <w:tcW w:w="1082" w:type="dxa"/>
          </w:tcPr>
          <w:p>
            <w:pPr>
              <w:pStyle w:val="TableParagraph"/>
              <w:rPr>
                <w:sz w:val="20"/>
              </w:rPr>
            </w:pPr>
          </w:p>
        </w:tc>
        <w:tc>
          <w:tcPr>
            <w:tcW w:w="6735" w:type="dxa"/>
            <w:tcBorders>
              <w:right w:val="single" w:sz="6" w:space="0" w:color="000000"/>
            </w:tcBorders>
          </w:tcPr>
          <w:p>
            <w:pPr>
              <w:pStyle w:val="TableParagraph"/>
              <w:spacing w:before="3"/>
              <w:rPr>
                <w:rFonts w:ascii="Arial"/>
                <w:b/>
                <w:sz w:val="51"/>
              </w:rPr>
            </w:pPr>
          </w:p>
          <w:p>
            <w:pPr>
              <w:pStyle w:val="TableParagraph"/>
              <w:spacing w:line="445" w:lineRule="exact"/>
              <w:ind w:left="1575"/>
              <w:rPr>
                <w:sz w:val="40"/>
              </w:rPr>
            </w:pPr>
            <w:r>
              <w:rPr>
                <w:sz w:val="40"/>
              </w:rPr>
              <w:t>END OF SCHEDULE</w:t>
            </w:r>
          </w:p>
        </w:tc>
        <w:tc>
          <w:tcPr>
            <w:tcW w:w="1491" w:type="dxa"/>
            <w:tcBorders>
              <w:left w:val="single" w:sz="6" w:space="0" w:color="000000"/>
            </w:tcBorders>
          </w:tcPr>
          <w:p>
            <w:pPr>
              <w:pStyle w:val="TableParagraph"/>
              <w:rPr>
                <w:sz w:val="20"/>
              </w:rPr>
            </w:pPr>
          </w:p>
        </w:tc>
      </w:tr>
    </w:tbl>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22"/>
        </w:rPr>
      </w:pPr>
      <w:r>
        <w:rPr/>
        <w:pict>
          <v:shape style="position:absolute;margin-left:70.344002pt;margin-top:14.995763pt;width:498pt;height:.75pt;mso-position-horizontal-relative:page;mso-position-vertical-relative:paragraph;z-index:-15725056;mso-wrap-distance-left:0;mso-wrap-distance-right:0" coordorigin="1407,300" coordsize="9960,15" path="m9523,300l1407,300,1407,314,9523,314,9523,300xm11366,300l9537,300,9523,300,9523,314,9537,314,11366,314,11366,300xe" filled="true" fillcolor="#000000" stroked="false">
            <v:path arrowok="t"/>
            <v:fill type="solid"/>
            <w10:wrap type="topAndBottom"/>
          </v:shape>
        </w:pict>
      </w:r>
    </w:p>
    <w:p>
      <w:pPr>
        <w:pStyle w:val="ListParagraph"/>
        <w:numPr>
          <w:ilvl w:val="1"/>
          <w:numId w:val="6"/>
        </w:numPr>
        <w:tabs>
          <w:tab w:pos="228" w:val="left" w:leader="none"/>
        </w:tabs>
        <w:spacing w:line="240" w:lineRule="auto" w:before="5" w:after="0"/>
        <w:ind w:left="10000" w:right="646" w:hanging="10001"/>
        <w:jc w:val="right"/>
        <w:rPr>
          <w:rFonts w:ascii="Arial Narrow" w:hAnsi="Arial Narrow"/>
          <w:b/>
          <w:sz w:val="20"/>
        </w:rPr>
      </w:pPr>
      <w:r>
        <w:rPr>
          <w:rFonts w:ascii="Arial Narrow" w:hAnsi="Arial Narrow"/>
          <w:b/>
          <w:sz w:val="20"/>
        </w:rPr>
        <w:t>Operative</w:t>
      </w:r>
      <w:r>
        <w:rPr>
          <w:rFonts w:ascii="Arial Narrow" w:hAnsi="Arial Narrow"/>
          <w:b/>
          <w:spacing w:val="-8"/>
          <w:sz w:val="20"/>
        </w:rPr>
        <w:t> </w:t>
      </w:r>
      <w:r>
        <w:rPr>
          <w:rFonts w:ascii="Arial Narrow" w:hAnsi="Arial Narrow"/>
          <w:b/>
          <w:sz w:val="20"/>
        </w:rPr>
        <w:t>1/7/18</w:t>
      </w:r>
    </w:p>
    <w:p>
      <w:pPr>
        <w:spacing w:after="0" w:line="240" w:lineRule="auto"/>
        <w:jc w:val="right"/>
        <w:rPr>
          <w:rFonts w:ascii="Arial Narrow" w:hAnsi="Arial Narrow"/>
          <w:sz w:val="20"/>
        </w:rPr>
        <w:sectPr>
          <w:pgSz w:w="11910" w:h="16840"/>
          <w:pgMar w:top="760" w:bottom="280" w:left="0" w:right="0"/>
        </w:sectPr>
      </w:pPr>
    </w:p>
    <w:p>
      <w:pPr>
        <w:pStyle w:val="BodyText"/>
        <w:spacing w:before="5"/>
        <w:rPr>
          <w:sz w:val="17"/>
        </w:rPr>
      </w:pPr>
    </w:p>
    <w:sectPr>
      <w:pgSz w:w="11910" w:h="16840"/>
      <w:pgMar w:top="158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TimesNewRomanPS-BoldItalicMT">
    <w:altName w:val="TimesNewRomanPS-BoldItalicMT"/>
    <w:charset w:val="0"/>
    <w:family w:val="roman"/>
    <w:pitch w:val="variable"/>
  </w:font>
  <w:font w:name="Wingdings">
    <w:altName w:val="Wingdings"/>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713" w:hanging="567"/>
        <w:jc w:val="left"/>
      </w:pPr>
      <w:rPr>
        <w:rFonts w:hint="default"/>
        <w:spacing w:val="0"/>
        <w:w w:val="99"/>
        <w:lang w:val="en-au" w:eastAsia="en-US" w:bidi="ar-SA"/>
      </w:rPr>
    </w:lvl>
    <w:lvl w:ilvl="1">
      <w:start w:val="1"/>
      <w:numFmt w:val="lowerRoman"/>
      <w:lvlText w:val="%2."/>
      <w:lvlJc w:val="left"/>
      <w:pPr>
        <w:ind w:left="1565" w:hanging="389"/>
        <w:jc w:val="left"/>
      </w:pPr>
      <w:rPr>
        <w:rFonts w:hint="default" w:ascii="Times New Roman" w:hAnsi="Times New Roman" w:eastAsia="Times New Roman" w:cs="Times New Roman"/>
        <w:spacing w:val="-1"/>
        <w:w w:val="99"/>
        <w:sz w:val="20"/>
        <w:szCs w:val="20"/>
        <w:lang w:val="en-au" w:eastAsia="en-US" w:bidi="ar-SA"/>
      </w:rPr>
    </w:lvl>
    <w:lvl w:ilvl="2">
      <w:start w:val="1"/>
      <w:numFmt w:val="lowerLetter"/>
      <w:lvlText w:val="%3."/>
      <w:lvlJc w:val="left"/>
      <w:pPr>
        <w:ind w:left="2273" w:hanging="708"/>
        <w:jc w:val="left"/>
      </w:pPr>
      <w:rPr>
        <w:rFonts w:hint="default" w:ascii="Times New Roman" w:hAnsi="Times New Roman" w:eastAsia="Times New Roman" w:cs="Times New Roman"/>
        <w:w w:val="99"/>
        <w:sz w:val="20"/>
        <w:szCs w:val="20"/>
        <w:lang w:val="en-au" w:eastAsia="en-US" w:bidi="ar-SA"/>
      </w:rPr>
    </w:lvl>
    <w:lvl w:ilvl="3">
      <w:start w:val="0"/>
      <w:numFmt w:val="bullet"/>
      <w:lvlText w:val="•"/>
      <w:lvlJc w:val="left"/>
      <w:pPr>
        <w:ind w:left="2835" w:hanging="708"/>
      </w:pPr>
      <w:rPr>
        <w:rFonts w:hint="default"/>
        <w:lang w:val="en-au" w:eastAsia="en-US" w:bidi="ar-SA"/>
      </w:rPr>
    </w:lvl>
    <w:lvl w:ilvl="4">
      <w:start w:val="0"/>
      <w:numFmt w:val="bullet"/>
      <w:lvlText w:val="•"/>
      <w:lvlJc w:val="left"/>
      <w:pPr>
        <w:ind w:left="3391" w:hanging="708"/>
      </w:pPr>
      <w:rPr>
        <w:rFonts w:hint="default"/>
        <w:lang w:val="en-au" w:eastAsia="en-US" w:bidi="ar-SA"/>
      </w:rPr>
    </w:lvl>
    <w:lvl w:ilvl="5">
      <w:start w:val="0"/>
      <w:numFmt w:val="bullet"/>
      <w:lvlText w:val="•"/>
      <w:lvlJc w:val="left"/>
      <w:pPr>
        <w:ind w:left="3947" w:hanging="708"/>
      </w:pPr>
      <w:rPr>
        <w:rFonts w:hint="default"/>
        <w:lang w:val="en-au" w:eastAsia="en-US" w:bidi="ar-SA"/>
      </w:rPr>
    </w:lvl>
    <w:lvl w:ilvl="6">
      <w:start w:val="0"/>
      <w:numFmt w:val="bullet"/>
      <w:lvlText w:val="•"/>
      <w:lvlJc w:val="left"/>
      <w:pPr>
        <w:ind w:left="4503" w:hanging="708"/>
      </w:pPr>
      <w:rPr>
        <w:rFonts w:hint="default"/>
        <w:lang w:val="en-au" w:eastAsia="en-US" w:bidi="ar-SA"/>
      </w:rPr>
    </w:lvl>
    <w:lvl w:ilvl="7">
      <w:start w:val="0"/>
      <w:numFmt w:val="bullet"/>
      <w:lvlText w:val="•"/>
      <w:lvlJc w:val="left"/>
      <w:pPr>
        <w:ind w:left="5059" w:hanging="708"/>
      </w:pPr>
      <w:rPr>
        <w:rFonts w:hint="default"/>
        <w:lang w:val="en-au" w:eastAsia="en-US" w:bidi="ar-SA"/>
      </w:rPr>
    </w:lvl>
    <w:lvl w:ilvl="8">
      <w:start w:val="0"/>
      <w:numFmt w:val="bullet"/>
      <w:lvlText w:val="•"/>
      <w:lvlJc w:val="left"/>
      <w:pPr>
        <w:ind w:left="5615" w:hanging="708"/>
      </w:pPr>
      <w:rPr>
        <w:rFonts w:hint="default"/>
        <w:lang w:val="en-au" w:eastAsia="en-US" w:bidi="ar-SA"/>
      </w:rPr>
    </w:lvl>
  </w:abstractNum>
  <w:abstractNum w:abstractNumId="4">
    <w:multiLevelType w:val="hybridMultilevel"/>
    <w:lvl w:ilvl="0">
      <w:start w:val="1"/>
      <w:numFmt w:val="lowerLetter"/>
      <w:lvlText w:val="(%1)"/>
      <w:lvlJc w:val="left"/>
      <w:pPr>
        <w:ind w:left="442" w:hanging="286"/>
        <w:jc w:val="left"/>
      </w:pPr>
      <w:rPr>
        <w:rFonts w:hint="default"/>
        <w:b/>
        <w:bCs/>
        <w:w w:val="99"/>
        <w:lang w:val="en-au" w:eastAsia="en-US" w:bidi="ar-SA"/>
      </w:rPr>
    </w:lvl>
    <w:lvl w:ilvl="1">
      <w:start w:val="1"/>
      <w:numFmt w:val="lowerRoman"/>
      <w:lvlText w:val="(%2)"/>
      <w:lvlJc w:val="left"/>
      <w:pPr>
        <w:ind w:left="984" w:hanging="240"/>
        <w:jc w:val="left"/>
      </w:pPr>
      <w:rPr>
        <w:rFonts w:hint="default" w:ascii="Times New Roman" w:hAnsi="Times New Roman" w:eastAsia="Times New Roman" w:cs="Times New Roman"/>
        <w:b/>
        <w:bCs/>
        <w:spacing w:val="-1"/>
        <w:w w:val="99"/>
        <w:sz w:val="20"/>
        <w:szCs w:val="20"/>
        <w:lang w:val="en-au" w:eastAsia="en-US" w:bidi="ar-SA"/>
      </w:rPr>
    </w:lvl>
    <w:lvl w:ilvl="2">
      <w:start w:val="0"/>
      <w:numFmt w:val="bullet"/>
      <w:lvlText w:val="•"/>
      <w:lvlJc w:val="left"/>
      <w:pPr>
        <w:ind w:left="1413" w:hanging="240"/>
      </w:pPr>
      <w:rPr>
        <w:rFonts w:hint="default"/>
        <w:lang w:val="en-au" w:eastAsia="en-US" w:bidi="ar-SA"/>
      </w:rPr>
    </w:lvl>
    <w:lvl w:ilvl="3">
      <w:start w:val="0"/>
      <w:numFmt w:val="bullet"/>
      <w:lvlText w:val="•"/>
      <w:lvlJc w:val="left"/>
      <w:pPr>
        <w:ind w:left="1846" w:hanging="240"/>
      </w:pPr>
      <w:rPr>
        <w:rFonts w:hint="default"/>
        <w:lang w:val="en-au" w:eastAsia="en-US" w:bidi="ar-SA"/>
      </w:rPr>
    </w:lvl>
    <w:lvl w:ilvl="4">
      <w:start w:val="0"/>
      <w:numFmt w:val="bullet"/>
      <w:lvlText w:val="•"/>
      <w:lvlJc w:val="left"/>
      <w:pPr>
        <w:ind w:left="2279" w:hanging="240"/>
      </w:pPr>
      <w:rPr>
        <w:rFonts w:hint="default"/>
        <w:lang w:val="en-au" w:eastAsia="en-US" w:bidi="ar-SA"/>
      </w:rPr>
    </w:lvl>
    <w:lvl w:ilvl="5">
      <w:start w:val="0"/>
      <w:numFmt w:val="bullet"/>
      <w:lvlText w:val="•"/>
      <w:lvlJc w:val="left"/>
      <w:pPr>
        <w:ind w:left="2712" w:hanging="240"/>
      </w:pPr>
      <w:rPr>
        <w:rFonts w:hint="default"/>
        <w:lang w:val="en-au" w:eastAsia="en-US" w:bidi="ar-SA"/>
      </w:rPr>
    </w:lvl>
    <w:lvl w:ilvl="6">
      <w:start w:val="0"/>
      <w:numFmt w:val="bullet"/>
      <w:lvlText w:val="•"/>
      <w:lvlJc w:val="left"/>
      <w:pPr>
        <w:ind w:left="3146" w:hanging="240"/>
      </w:pPr>
      <w:rPr>
        <w:rFonts w:hint="default"/>
        <w:lang w:val="en-au" w:eastAsia="en-US" w:bidi="ar-SA"/>
      </w:rPr>
    </w:lvl>
    <w:lvl w:ilvl="7">
      <w:start w:val="0"/>
      <w:numFmt w:val="bullet"/>
      <w:lvlText w:val="•"/>
      <w:lvlJc w:val="left"/>
      <w:pPr>
        <w:ind w:left="3579" w:hanging="240"/>
      </w:pPr>
      <w:rPr>
        <w:rFonts w:hint="default"/>
        <w:lang w:val="en-au" w:eastAsia="en-US" w:bidi="ar-SA"/>
      </w:rPr>
    </w:lvl>
    <w:lvl w:ilvl="8">
      <w:start w:val="0"/>
      <w:numFmt w:val="bullet"/>
      <w:lvlText w:val="•"/>
      <w:lvlJc w:val="left"/>
      <w:pPr>
        <w:ind w:left="4012" w:hanging="240"/>
      </w:pPr>
      <w:rPr>
        <w:rFonts w:hint="default"/>
        <w:lang w:val="en-au" w:eastAsia="en-US" w:bidi="ar-SA"/>
      </w:rPr>
    </w:lvl>
  </w:abstractNum>
  <w:abstractNum w:abstractNumId="5">
    <w:multiLevelType w:val="hybridMultilevel"/>
    <w:lvl w:ilvl="0">
      <w:start w:val="0"/>
      <w:numFmt w:val="bullet"/>
      <w:lvlText w:val="*"/>
      <w:lvlJc w:val="left"/>
      <w:pPr>
        <w:ind w:left="1564" w:hanging="142"/>
      </w:pPr>
      <w:rPr>
        <w:rFonts w:hint="default" w:ascii="Arial Narrow" w:hAnsi="Arial Narrow" w:eastAsia="Arial Narrow" w:cs="Arial Narrow"/>
        <w:b/>
        <w:bCs/>
        <w:w w:val="99"/>
        <w:sz w:val="20"/>
        <w:szCs w:val="20"/>
        <w:lang w:val="en-au" w:eastAsia="en-US" w:bidi="ar-SA"/>
      </w:rPr>
    </w:lvl>
    <w:lvl w:ilvl="1">
      <w:start w:val="0"/>
      <w:numFmt w:val="bullet"/>
      <w:lvlText w:val=""/>
      <w:lvlJc w:val="left"/>
      <w:pPr>
        <w:ind w:left="10000" w:hanging="228"/>
      </w:pPr>
      <w:rPr>
        <w:rFonts w:hint="default" w:ascii="Wingdings" w:hAnsi="Wingdings" w:eastAsia="Wingdings" w:cs="Wingdings"/>
        <w:w w:val="99"/>
        <w:sz w:val="20"/>
        <w:szCs w:val="20"/>
        <w:lang w:val="en-au" w:eastAsia="en-US" w:bidi="ar-SA"/>
      </w:rPr>
    </w:lvl>
    <w:lvl w:ilvl="2">
      <w:start w:val="0"/>
      <w:numFmt w:val="bullet"/>
      <w:lvlText w:val="•"/>
      <w:lvlJc w:val="left"/>
      <w:pPr>
        <w:ind w:left="10211" w:hanging="228"/>
      </w:pPr>
      <w:rPr>
        <w:rFonts w:hint="default"/>
        <w:lang w:val="en-au" w:eastAsia="en-US" w:bidi="ar-SA"/>
      </w:rPr>
    </w:lvl>
    <w:lvl w:ilvl="3">
      <w:start w:val="0"/>
      <w:numFmt w:val="bullet"/>
      <w:lvlText w:val="•"/>
      <w:lvlJc w:val="left"/>
      <w:pPr>
        <w:ind w:left="10423" w:hanging="228"/>
      </w:pPr>
      <w:rPr>
        <w:rFonts w:hint="default"/>
        <w:lang w:val="en-au" w:eastAsia="en-US" w:bidi="ar-SA"/>
      </w:rPr>
    </w:lvl>
    <w:lvl w:ilvl="4">
      <w:start w:val="0"/>
      <w:numFmt w:val="bullet"/>
      <w:lvlText w:val="•"/>
      <w:lvlJc w:val="left"/>
      <w:pPr>
        <w:ind w:left="10635" w:hanging="228"/>
      </w:pPr>
      <w:rPr>
        <w:rFonts w:hint="default"/>
        <w:lang w:val="en-au" w:eastAsia="en-US" w:bidi="ar-SA"/>
      </w:rPr>
    </w:lvl>
    <w:lvl w:ilvl="5">
      <w:start w:val="0"/>
      <w:numFmt w:val="bullet"/>
      <w:lvlText w:val="•"/>
      <w:lvlJc w:val="left"/>
      <w:pPr>
        <w:ind w:left="10847" w:hanging="228"/>
      </w:pPr>
      <w:rPr>
        <w:rFonts w:hint="default"/>
        <w:lang w:val="en-au" w:eastAsia="en-US" w:bidi="ar-SA"/>
      </w:rPr>
    </w:lvl>
    <w:lvl w:ilvl="6">
      <w:start w:val="0"/>
      <w:numFmt w:val="bullet"/>
      <w:lvlText w:val="•"/>
      <w:lvlJc w:val="left"/>
      <w:pPr>
        <w:ind w:left="11059" w:hanging="228"/>
      </w:pPr>
      <w:rPr>
        <w:rFonts w:hint="default"/>
        <w:lang w:val="en-au" w:eastAsia="en-US" w:bidi="ar-SA"/>
      </w:rPr>
    </w:lvl>
    <w:lvl w:ilvl="7">
      <w:start w:val="0"/>
      <w:numFmt w:val="bullet"/>
      <w:lvlText w:val="•"/>
      <w:lvlJc w:val="left"/>
      <w:pPr>
        <w:ind w:left="11270" w:hanging="228"/>
      </w:pPr>
      <w:rPr>
        <w:rFonts w:hint="default"/>
        <w:lang w:val="en-au" w:eastAsia="en-US" w:bidi="ar-SA"/>
      </w:rPr>
    </w:lvl>
    <w:lvl w:ilvl="8">
      <w:start w:val="0"/>
      <w:numFmt w:val="bullet"/>
      <w:lvlText w:val="•"/>
      <w:lvlJc w:val="left"/>
      <w:pPr>
        <w:ind w:left="11482" w:hanging="228"/>
      </w:pPr>
      <w:rPr>
        <w:rFonts w:hint="default"/>
        <w:lang w:val="en-au" w:eastAsia="en-US" w:bidi="ar-SA"/>
      </w:rPr>
    </w:lvl>
  </w:abstractNum>
  <w:abstractNum w:abstractNumId="3">
    <w:multiLevelType w:val="hybridMultilevel"/>
    <w:lvl w:ilvl="0">
      <w:start w:val="1"/>
      <w:numFmt w:val="lowerLetter"/>
      <w:lvlText w:val="(%1)"/>
      <w:lvlJc w:val="left"/>
      <w:pPr>
        <w:ind w:left="1230"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683" w:hanging="284"/>
      </w:pPr>
      <w:rPr>
        <w:rFonts w:hint="default"/>
        <w:lang w:val="en-au" w:eastAsia="en-US" w:bidi="ar-SA"/>
      </w:rPr>
    </w:lvl>
    <w:lvl w:ilvl="2">
      <w:start w:val="0"/>
      <w:numFmt w:val="bullet"/>
      <w:lvlText w:val="•"/>
      <w:lvlJc w:val="left"/>
      <w:pPr>
        <w:ind w:left="2127" w:hanging="284"/>
      </w:pPr>
      <w:rPr>
        <w:rFonts w:hint="default"/>
        <w:lang w:val="en-au" w:eastAsia="en-US" w:bidi="ar-SA"/>
      </w:rPr>
    </w:lvl>
    <w:lvl w:ilvl="3">
      <w:start w:val="0"/>
      <w:numFmt w:val="bullet"/>
      <w:lvlText w:val="•"/>
      <w:lvlJc w:val="left"/>
      <w:pPr>
        <w:ind w:left="2571" w:hanging="284"/>
      </w:pPr>
      <w:rPr>
        <w:rFonts w:hint="default"/>
        <w:lang w:val="en-au" w:eastAsia="en-US" w:bidi="ar-SA"/>
      </w:rPr>
    </w:lvl>
    <w:lvl w:ilvl="4">
      <w:start w:val="0"/>
      <w:numFmt w:val="bullet"/>
      <w:lvlText w:val="•"/>
      <w:lvlJc w:val="left"/>
      <w:pPr>
        <w:ind w:left="3014" w:hanging="284"/>
      </w:pPr>
      <w:rPr>
        <w:rFonts w:hint="default"/>
        <w:lang w:val="en-au" w:eastAsia="en-US" w:bidi="ar-SA"/>
      </w:rPr>
    </w:lvl>
    <w:lvl w:ilvl="5">
      <w:start w:val="0"/>
      <w:numFmt w:val="bullet"/>
      <w:lvlText w:val="•"/>
      <w:lvlJc w:val="left"/>
      <w:pPr>
        <w:ind w:left="3458" w:hanging="284"/>
      </w:pPr>
      <w:rPr>
        <w:rFonts w:hint="default"/>
        <w:lang w:val="en-au" w:eastAsia="en-US" w:bidi="ar-SA"/>
      </w:rPr>
    </w:lvl>
    <w:lvl w:ilvl="6">
      <w:start w:val="0"/>
      <w:numFmt w:val="bullet"/>
      <w:lvlText w:val="•"/>
      <w:lvlJc w:val="left"/>
      <w:pPr>
        <w:ind w:left="3902" w:hanging="284"/>
      </w:pPr>
      <w:rPr>
        <w:rFonts w:hint="default"/>
        <w:lang w:val="en-au" w:eastAsia="en-US" w:bidi="ar-SA"/>
      </w:rPr>
    </w:lvl>
    <w:lvl w:ilvl="7">
      <w:start w:val="0"/>
      <w:numFmt w:val="bullet"/>
      <w:lvlText w:val="•"/>
      <w:lvlJc w:val="left"/>
      <w:pPr>
        <w:ind w:left="4345" w:hanging="284"/>
      </w:pPr>
      <w:rPr>
        <w:rFonts w:hint="default"/>
        <w:lang w:val="en-au" w:eastAsia="en-US" w:bidi="ar-SA"/>
      </w:rPr>
    </w:lvl>
    <w:lvl w:ilvl="8">
      <w:start w:val="0"/>
      <w:numFmt w:val="bullet"/>
      <w:lvlText w:val="•"/>
      <w:lvlJc w:val="left"/>
      <w:pPr>
        <w:ind w:left="4789" w:hanging="284"/>
      </w:pPr>
      <w:rPr>
        <w:rFonts w:hint="default"/>
        <w:lang w:val="en-au" w:eastAsia="en-US" w:bidi="ar-SA"/>
      </w:rPr>
    </w:lvl>
  </w:abstractNum>
  <w:abstractNum w:abstractNumId="2">
    <w:multiLevelType w:val="hybridMultilevel"/>
    <w:lvl w:ilvl="0">
      <w:start w:val="1"/>
      <w:numFmt w:val="lowerLetter"/>
      <w:lvlText w:val="(%1)"/>
      <w:lvlJc w:val="left"/>
      <w:pPr>
        <w:ind w:left="1254"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702" w:hanging="284"/>
      </w:pPr>
      <w:rPr>
        <w:rFonts w:hint="default"/>
        <w:lang w:val="en-au" w:eastAsia="en-US" w:bidi="ar-SA"/>
      </w:rPr>
    </w:lvl>
    <w:lvl w:ilvl="2">
      <w:start w:val="0"/>
      <w:numFmt w:val="bullet"/>
      <w:lvlText w:val="•"/>
      <w:lvlJc w:val="left"/>
      <w:pPr>
        <w:ind w:left="2145" w:hanging="284"/>
      </w:pPr>
      <w:rPr>
        <w:rFonts w:hint="default"/>
        <w:lang w:val="en-au" w:eastAsia="en-US" w:bidi="ar-SA"/>
      </w:rPr>
    </w:lvl>
    <w:lvl w:ilvl="3">
      <w:start w:val="0"/>
      <w:numFmt w:val="bullet"/>
      <w:lvlText w:val="•"/>
      <w:lvlJc w:val="left"/>
      <w:pPr>
        <w:ind w:left="2587" w:hanging="284"/>
      </w:pPr>
      <w:rPr>
        <w:rFonts w:hint="default"/>
        <w:lang w:val="en-au" w:eastAsia="en-US" w:bidi="ar-SA"/>
      </w:rPr>
    </w:lvl>
    <w:lvl w:ilvl="4">
      <w:start w:val="0"/>
      <w:numFmt w:val="bullet"/>
      <w:lvlText w:val="•"/>
      <w:lvlJc w:val="left"/>
      <w:pPr>
        <w:ind w:left="3030" w:hanging="284"/>
      </w:pPr>
      <w:rPr>
        <w:rFonts w:hint="default"/>
        <w:lang w:val="en-au" w:eastAsia="en-US" w:bidi="ar-SA"/>
      </w:rPr>
    </w:lvl>
    <w:lvl w:ilvl="5">
      <w:start w:val="0"/>
      <w:numFmt w:val="bullet"/>
      <w:lvlText w:val="•"/>
      <w:lvlJc w:val="left"/>
      <w:pPr>
        <w:ind w:left="3473" w:hanging="284"/>
      </w:pPr>
      <w:rPr>
        <w:rFonts w:hint="default"/>
        <w:lang w:val="en-au" w:eastAsia="en-US" w:bidi="ar-SA"/>
      </w:rPr>
    </w:lvl>
    <w:lvl w:ilvl="6">
      <w:start w:val="0"/>
      <w:numFmt w:val="bullet"/>
      <w:lvlText w:val="•"/>
      <w:lvlJc w:val="left"/>
      <w:pPr>
        <w:ind w:left="3915" w:hanging="284"/>
      </w:pPr>
      <w:rPr>
        <w:rFonts w:hint="default"/>
        <w:lang w:val="en-au" w:eastAsia="en-US" w:bidi="ar-SA"/>
      </w:rPr>
    </w:lvl>
    <w:lvl w:ilvl="7">
      <w:start w:val="0"/>
      <w:numFmt w:val="bullet"/>
      <w:lvlText w:val="•"/>
      <w:lvlJc w:val="left"/>
      <w:pPr>
        <w:ind w:left="4358" w:hanging="284"/>
      </w:pPr>
      <w:rPr>
        <w:rFonts w:hint="default"/>
        <w:lang w:val="en-au" w:eastAsia="en-US" w:bidi="ar-SA"/>
      </w:rPr>
    </w:lvl>
    <w:lvl w:ilvl="8">
      <w:start w:val="0"/>
      <w:numFmt w:val="bullet"/>
      <w:lvlText w:val="•"/>
      <w:lvlJc w:val="left"/>
      <w:pPr>
        <w:ind w:left="4800" w:hanging="284"/>
      </w:pPr>
      <w:rPr>
        <w:rFonts w:hint="default"/>
        <w:lang w:val="en-au" w:eastAsia="en-US" w:bidi="ar-SA"/>
      </w:rPr>
    </w:lvl>
  </w:abstractNum>
  <w:abstractNum w:abstractNumId="1">
    <w:multiLevelType w:val="hybridMultilevel"/>
    <w:lvl w:ilvl="0">
      <w:start w:val="3"/>
      <w:numFmt w:val="lowerLetter"/>
      <w:lvlText w:val="(%1)"/>
      <w:lvlJc w:val="left"/>
      <w:pPr>
        <w:ind w:left="1255" w:hanging="284"/>
        <w:jc w:val="left"/>
      </w:pPr>
      <w:rPr>
        <w:rFonts w:hint="default" w:ascii="Times New Roman" w:hAnsi="Times New Roman" w:eastAsia="Times New Roman" w:cs="Times New Roman"/>
        <w:b/>
        <w:bCs/>
        <w:w w:val="99"/>
        <w:sz w:val="20"/>
        <w:szCs w:val="20"/>
        <w:lang w:val="en-au" w:eastAsia="en-US" w:bidi="ar-SA"/>
      </w:rPr>
    </w:lvl>
    <w:lvl w:ilvl="1">
      <w:start w:val="1"/>
      <w:numFmt w:val="lowerRoman"/>
      <w:lvlText w:val="(%2)"/>
      <w:lvlJc w:val="left"/>
      <w:pPr>
        <w:ind w:left="1679" w:hanging="332"/>
        <w:jc w:val="left"/>
      </w:pPr>
      <w:rPr>
        <w:rFonts w:hint="default" w:ascii="Times New Roman" w:hAnsi="Times New Roman" w:eastAsia="Times New Roman" w:cs="Times New Roman"/>
        <w:b/>
        <w:bCs/>
        <w:spacing w:val="-1"/>
        <w:w w:val="99"/>
        <w:sz w:val="20"/>
        <w:szCs w:val="20"/>
        <w:lang w:val="en-au" w:eastAsia="en-US" w:bidi="ar-SA"/>
      </w:rPr>
    </w:lvl>
    <w:lvl w:ilvl="2">
      <w:start w:val="0"/>
      <w:numFmt w:val="bullet"/>
      <w:lvlText w:val="•"/>
      <w:lvlJc w:val="left"/>
      <w:pPr>
        <w:ind w:left="2125" w:hanging="332"/>
      </w:pPr>
      <w:rPr>
        <w:rFonts w:hint="default"/>
        <w:lang w:val="en-au" w:eastAsia="en-US" w:bidi="ar-SA"/>
      </w:rPr>
    </w:lvl>
    <w:lvl w:ilvl="3">
      <w:start w:val="0"/>
      <w:numFmt w:val="bullet"/>
      <w:lvlText w:val="•"/>
      <w:lvlJc w:val="left"/>
      <w:pPr>
        <w:ind w:left="2570" w:hanging="332"/>
      </w:pPr>
      <w:rPr>
        <w:rFonts w:hint="default"/>
        <w:lang w:val="en-au" w:eastAsia="en-US" w:bidi="ar-SA"/>
      </w:rPr>
    </w:lvl>
    <w:lvl w:ilvl="4">
      <w:start w:val="0"/>
      <w:numFmt w:val="bullet"/>
      <w:lvlText w:val="•"/>
      <w:lvlJc w:val="left"/>
      <w:pPr>
        <w:ind w:left="3015" w:hanging="332"/>
      </w:pPr>
      <w:rPr>
        <w:rFonts w:hint="default"/>
        <w:lang w:val="en-au" w:eastAsia="en-US" w:bidi="ar-SA"/>
      </w:rPr>
    </w:lvl>
    <w:lvl w:ilvl="5">
      <w:start w:val="0"/>
      <w:numFmt w:val="bullet"/>
      <w:lvlText w:val="•"/>
      <w:lvlJc w:val="left"/>
      <w:pPr>
        <w:ind w:left="3460" w:hanging="332"/>
      </w:pPr>
      <w:rPr>
        <w:rFonts w:hint="default"/>
        <w:lang w:val="en-au" w:eastAsia="en-US" w:bidi="ar-SA"/>
      </w:rPr>
    </w:lvl>
    <w:lvl w:ilvl="6">
      <w:start w:val="0"/>
      <w:numFmt w:val="bullet"/>
      <w:lvlText w:val="•"/>
      <w:lvlJc w:val="left"/>
      <w:pPr>
        <w:ind w:left="3905" w:hanging="332"/>
      </w:pPr>
      <w:rPr>
        <w:rFonts w:hint="default"/>
        <w:lang w:val="en-au" w:eastAsia="en-US" w:bidi="ar-SA"/>
      </w:rPr>
    </w:lvl>
    <w:lvl w:ilvl="7">
      <w:start w:val="0"/>
      <w:numFmt w:val="bullet"/>
      <w:lvlText w:val="•"/>
      <w:lvlJc w:val="left"/>
      <w:pPr>
        <w:ind w:left="4350" w:hanging="332"/>
      </w:pPr>
      <w:rPr>
        <w:rFonts w:hint="default"/>
        <w:lang w:val="en-au" w:eastAsia="en-US" w:bidi="ar-SA"/>
      </w:rPr>
    </w:lvl>
    <w:lvl w:ilvl="8">
      <w:start w:val="0"/>
      <w:numFmt w:val="bullet"/>
      <w:lvlText w:val="•"/>
      <w:lvlJc w:val="left"/>
      <w:pPr>
        <w:ind w:left="4795" w:hanging="332"/>
      </w:pPr>
      <w:rPr>
        <w:rFonts w:hint="default"/>
        <w:lang w:val="en-au" w:eastAsia="en-US" w:bidi="ar-SA"/>
      </w:rPr>
    </w:lvl>
  </w:abstractNum>
  <w:abstractNum w:abstractNumId="0">
    <w:multiLevelType w:val="hybridMultilevel"/>
    <w:lvl w:ilvl="0">
      <w:start w:val="0"/>
      <w:numFmt w:val="bullet"/>
      <w:lvlText w:val="•"/>
      <w:lvlJc w:val="left"/>
      <w:pPr>
        <w:ind w:left="1132" w:hanging="360"/>
      </w:pPr>
      <w:rPr>
        <w:rFonts w:hint="default" w:ascii="Arial" w:hAnsi="Arial" w:eastAsia="Arial" w:cs="Arial"/>
        <w:w w:val="130"/>
        <w:sz w:val="20"/>
        <w:szCs w:val="20"/>
        <w:lang w:val="en-au" w:eastAsia="en-US" w:bidi="ar-SA"/>
      </w:rPr>
    </w:lvl>
    <w:lvl w:ilvl="1">
      <w:start w:val="0"/>
      <w:numFmt w:val="bullet"/>
      <w:lvlText w:val="•"/>
      <w:lvlJc w:val="left"/>
      <w:pPr>
        <w:ind w:left="2216" w:hanging="360"/>
      </w:pPr>
      <w:rPr>
        <w:rFonts w:hint="default"/>
        <w:lang w:val="en-au" w:eastAsia="en-US" w:bidi="ar-SA"/>
      </w:rPr>
    </w:lvl>
    <w:lvl w:ilvl="2">
      <w:start w:val="0"/>
      <w:numFmt w:val="bullet"/>
      <w:lvlText w:val="•"/>
      <w:lvlJc w:val="left"/>
      <w:pPr>
        <w:ind w:left="3293" w:hanging="360"/>
      </w:pPr>
      <w:rPr>
        <w:rFonts w:hint="default"/>
        <w:lang w:val="en-au" w:eastAsia="en-US" w:bidi="ar-SA"/>
      </w:rPr>
    </w:lvl>
    <w:lvl w:ilvl="3">
      <w:start w:val="0"/>
      <w:numFmt w:val="bullet"/>
      <w:lvlText w:val="•"/>
      <w:lvlJc w:val="left"/>
      <w:pPr>
        <w:ind w:left="4369" w:hanging="360"/>
      </w:pPr>
      <w:rPr>
        <w:rFonts w:hint="default"/>
        <w:lang w:val="en-au" w:eastAsia="en-US" w:bidi="ar-SA"/>
      </w:rPr>
    </w:lvl>
    <w:lvl w:ilvl="4">
      <w:start w:val="0"/>
      <w:numFmt w:val="bullet"/>
      <w:lvlText w:val="•"/>
      <w:lvlJc w:val="left"/>
      <w:pPr>
        <w:ind w:left="5446" w:hanging="360"/>
      </w:pPr>
      <w:rPr>
        <w:rFonts w:hint="default"/>
        <w:lang w:val="en-au" w:eastAsia="en-US" w:bidi="ar-SA"/>
      </w:rPr>
    </w:lvl>
    <w:lvl w:ilvl="5">
      <w:start w:val="0"/>
      <w:numFmt w:val="bullet"/>
      <w:lvlText w:val="•"/>
      <w:lvlJc w:val="left"/>
      <w:pPr>
        <w:ind w:left="6523" w:hanging="360"/>
      </w:pPr>
      <w:rPr>
        <w:rFonts w:hint="default"/>
        <w:lang w:val="en-au" w:eastAsia="en-US" w:bidi="ar-SA"/>
      </w:rPr>
    </w:lvl>
    <w:lvl w:ilvl="6">
      <w:start w:val="0"/>
      <w:numFmt w:val="bullet"/>
      <w:lvlText w:val="•"/>
      <w:lvlJc w:val="left"/>
      <w:pPr>
        <w:ind w:left="7599" w:hanging="360"/>
      </w:pPr>
      <w:rPr>
        <w:rFonts w:hint="default"/>
        <w:lang w:val="en-au" w:eastAsia="en-US" w:bidi="ar-SA"/>
      </w:rPr>
    </w:lvl>
    <w:lvl w:ilvl="7">
      <w:start w:val="0"/>
      <w:numFmt w:val="bullet"/>
      <w:lvlText w:val="•"/>
      <w:lvlJc w:val="left"/>
      <w:pPr>
        <w:ind w:left="8676" w:hanging="360"/>
      </w:pPr>
      <w:rPr>
        <w:rFonts w:hint="default"/>
        <w:lang w:val="en-au" w:eastAsia="en-US" w:bidi="ar-SA"/>
      </w:rPr>
    </w:lvl>
    <w:lvl w:ilvl="8">
      <w:start w:val="0"/>
      <w:numFmt w:val="bullet"/>
      <w:lvlText w:val="•"/>
      <w:lvlJc w:val="left"/>
      <w:pPr>
        <w:ind w:left="9753" w:hanging="360"/>
      </w:pPr>
      <w:rPr>
        <w:rFonts w:hint="default"/>
        <w:lang w:val="en-au" w:eastAsia="en-US" w:bidi="ar-SA"/>
      </w:rPr>
    </w:lvl>
  </w:abstractNum>
  <w:num w:numId="7">
    <w:abstractNumId w:val="6"/>
  </w:num>
  <w:num w:numId="5">
    <w:abstractNumId w:val="4"/>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au" w:eastAsia="en-US" w:bidi="ar-SA"/>
    </w:rPr>
  </w:style>
  <w:style w:styleId="BodyText" w:type="paragraph">
    <w:name w:val="Body Text"/>
    <w:basedOn w:val="Normal"/>
    <w:uiPriority w:val="1"/>
    <w:qFormat/>
    <w:pPr/>
    <w:rPr>
      <w:rFonts w:ascii="Arial Narrow" w:hAnsi="Arial Narrow" w:eastAsia="Arial Narrow" w:cs="Arial Narrow"/>
      <w:b/>
      <w:bCs/>
      <w:sz w:val="20"/>
      <w:szCs w:val="20"/>
      <w:lang w:val="en-au" w:eastAsia="en-US" w:bidi="ar-SA"/>
    </w:rPr>
  </w:style>
  <w:style w:styleId="Heading1" w:type="paragraph">
    <w:name w:val="Heading 1"/>
    <w:basedOn w:val="Normal"/>
    <w:uiPriority w:val="1"/>
    <w:qFormat/>
    <w:pPr>
      <w:spacing w:before="91"/>
      <w:ind w:left="1133" w:right="1118" w:hanging="1"/>
      <w:outlineLvl w:val="1"/>
    </w:pPr>
    <w:rPr>
      <w:rFonts w:ascii="Arial" w:hAnsi="Arial" w:eastAsia="Arial" w:cs="Arial"/>
      <w:b/>
      <w:bCs/>
      <w:sz w:val="28"/>
      <w:szCs w:val="28"/>
      <w:lang w:val="en-au" w:eastAsia="en-US" w:bidi="ar-SA"/>
    </w:rPr>
  </w:style>
  <w:style w:styleId="Title" w:type="paragraph">
    <w:name w:val="Title"/>
    <w:basedOn w:val="Normal"/>
    <w:uiPriority w:val="1"/>
    <w:qFormat/>
    <w:pPr>
      <w:spacing w:before="85"/>
      <w:ind w:left="4739" w:right="1380" w:hanging="3274"/>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5"/>
      <w:ind w:left="1132" w:hanging="10001"/>
    </w:pPr>
    <w:rPr>
      <w:rFonts w:ascii="Arial" w:hAnsi="Arial" w:eastAsia="Arial" w:cs="Arial"/>
      <w:lang w:val="en-au" w:eastAsia="en-US" w:bidi="ar-SA"/>
    </w:rPr>
  </w:style>
  <w:style w:styleId="TableParagraph" w:type="paragraph">
    <w:name w:val="Table Paragraph"/>
    <w:basedOn w:val="Normal"/>
    <w:uiPriority w:val="1"/>
    <w:qFormat/>
    <w:pPr/>
    <w:rPr>
      <w:rFonts w:ascii="Times New Roman" w:hAnsi="Times New Roman" w:eastAsia="Times New Roman" w:cs="Times New Roman"/>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tradepolicy1@homeaffairs.gov.au" TargetMode="External"/><Relationship Id="rId8" Type="http://schemas.openxmlformats.org/officeDocument/2006/relationships/hyperlink" Target="https://www.homeaffairs.gov.au/busi/cargo-support-trade-and-goods/importing-goods/tariff-classification-of-goods/current-tariff-classification" TargetMode="External"/><Relationship Id="rId9" Type="http://schemas.openxmlformats.org/officeDocument/2006/relationships/image" Target="media/image3.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cp:keywords>Department of Home Affairs Notice, Concessional Item 56, Item 56, Placebos, Medicaments, 2018-19 Budget, Customs Tariff, Customs Tariff Working Pages, 1 July 2018, 2018/21, Customs Tariff By-law, By-law</cp:keywords>
  <dc:title>Department of Home Affairs Notice - Concessional Item 56</dc:title>
  <dcterms:created xsi:type="dcterms:W3CDTF">2020-12-09T22:29:43Z</dcterms:created>
  <dcterms:modified xsi:type="dcterms:W3CDTF">2020-12-09T22:29:43Z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2018-06-22T00:00:00Z</vt:filetime>
  </property>
  <property fmtid="{D5CDD505-2E9C-101B-9397-08002B2CF9AE}" pid="3" name="Creator">
    <vt:lpwstr>Acrobat PDFMaker 15 for Word</vt:lpwstr>
  </property>
  <property fmtid="{D5CDD505-2E9C-101B-9397-08002B2CF9AE}" pid="4" name="LastSaved">
    <vt:filetime>2020-12-09T00:00:00Z</vt:filetime>
  </property>
</Properties>
</file>