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sz w:val="16"/>
        </w:rPr>
      </w:pPr>
    </w:p>
    <w:p>
      <w:pPr>
        <w:pStyle w:val="Title"/>
        <w:ind w:right="2092"/>
      </w:pPr>
      <w:r>
        <w:rPr/>
        <w:drawing>
          <wp:anchor distT="0" distB="0" distL="0" distR="0" allowOverlap="1" layoutInCell="1" locked="0" behindDoc="0" simplePos="0" relativeHeight="15729664">
            <wp:simplePos x="0" y="0"/>
            <wp:positionH relativeFrom="page">
              <wp:posOffset>0</wp:posOffset>
            </wp:positionH>
            <wp:positionV relativeFrom="paragraph">
              <wp:posOffset>-1578332</wp:posOffset>
            </wp:positionV>
            <wp:extent cx="7559674" cy="1481454"/>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4" cy="1481454"/>
                    </a:xfrm>
                    <a:prstGeom prst="rect">
                      <a:avLst/>
                    </a:prstGeom>
                  </pic:spPr>
                </pic:pic>
              </a:graphicData>
            </a:graphic>
          </wp:anchor>
        </w:drawing>
      </w:r>
      <w:r>
        <w:rPr/>
        <w:t>DEPARTMENT OF HOME AFFAIRS NOTICE</w:t>
      </w:r>
    </w:p>
    <w:p>
      <w:pPr>
        <w:pStyle w:val="Title"/>
        <w:spacing w:before="202"/>
        <w:ind w:left="2092"/>
      </w:pPr>
      <w:r>
        <w:rPr/>
        <w:pict>
          <v:rect style="position:absolute;margin-left:55.919998pt;margin-top:30.311844pt;width:506.16pt;height:.48001pt;mso-position-horizontal-relative:page;mso-position-vertical-relative:paragraph;z-index:-15728640;mso-wrap-distance-left:0;mso-wrap-distance-right:0" filled="true" fillcolor="#4f81bc" stroked="false">
            <v:fill type="solid"/>
            <w10:wrap type="topAndBottom"/>
          </v:rect>
        </w:pict>
      </w:r>
      <w:r>
        <w:rPr/>
        <w:t>No</w:t>
      </w:r>
      <w:r>
        <w:rPr>
          <w:color w:val="0D0D0D"/>
        </w:rPr>
        <w:t>. 2018/22</w:t>
      </w:r>
    </w:p>
    <w:p>
      <w:pPr>
        <w:pStyle w:val="BodyText"/>
        <w:spacing w:before="7"/>
        <w:rPr>
          <w:b/>
          <w:sz w:val="13"/>
        </w:rPr>
      </w:pPr>
    </w:p>
    <w:p>
      <w:pPr>
        <w:spacing w:before="91"/>
        <w:ind w:left="2089" w:right="2092" w:firstLine="0"/>
        <w:jc w:val="center"/>
        <w:rPr>
          <w:b/>
          <w:sz w:val="26"/>
        </w:rPr>
      </w:pPr>
      <w:r>
        <w:rPr>
          <w:b/>
          <w:sz w:val="26"/>
        </w:rPr>
        <w:t>Applications for Customs Broker Licence</w:t>
      </w:r>
    </w:p>
    <w:p>
      <w:pPr>
        <w:pStyle w:val="BodyText"/>
        <w:spacing w:before="7"/>
        <w:rPr>
          <w:b/>
          <w:sz w:val="24"/>
        </w:rPr>
      </w:pPr>
    </w:p>
    <w:p>
      <w:pPr>
        <w:pStyle w:val="BodyText"/>
        <w:ind w:left="720" w:right="1031"/>
      </w:pPr>
      <w:r>
        <w:rPr/>
        <w:t>The following individuals and companies have applied to the Comptroller-General of Customs for a customs broker licence.</w:t>
      </w:r>
    </w:p>
    <w:p>
      <w:pPr>
        <w:pStyle w:val="BodyText"/>
        <w:rPr>
          <w:sz w:val="22"/>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5"/>
        <w:gridCol w:w="3702"/>
      </w:tblGrid>
      <w:tr>
        <w:trPr>
          <w:trHeight w:val="230" w:hRule="atLeast"/>
        </w:trPr>
        <w:tc>
          <w:tcPr>
            <w:tcW w:w="4965" w:type="dxa"/>
          </w:tcPr>
          <w:p>
            <w:pPr>
              <w:pStyle w:val="TableParagraph"/>
              <w:spacing w:line="210" w:lineRule="exact"/>
              <w:rPr>
                <w:b/>
                <w:sz w:val="20"/>
              </w:rPr>
            </w:pPr>
            <w:r>
              <w:rPr>
                <w:b/>
                <w:color w:val="0D0D0D"/>
                <w:sz w:val="20"/>
                <w:u w:val="thick" w:color="0D0D0D"/>
              </w:rPr>
              <w:t>COMPANY</w:t>
            </w:r>
          </w:p>
        </w:tc>
        <w:tc>
          <w:tcPr>
            <w:tcW w:w="3702" w:type="dxa"/>
          </w:tcPr>
          <w:p>
            <w:pPr>
              <w:pStyle w:val="TableParagraph"/>
              <w:spacing w:line="210" w:lineRule="exact"/>
              <w:rPr>
                <w:b/>
                <w:sz w:val="20"/>
              </w:rPr>
            </w:pPr>
            <w:r>
              <w:rPr>
                <w:b/>
                <w:color w:val="0D0D0D"/>
                <w:sz w:val="20"/>
                <w:u w:val="thick" w:color="0D0D0D"/>
              </w:rPr>
              <w:t>INDIVIDUALS</w:t>
            </w:r>
          </w:p>
        </w:tc>
      </w:tr>
      <w:tr>
        <w:trPr>
          <w:trHeight w:val="230" w:hRule="atLeast"/>
        </w:trPr>
        <w:tc>
          <w:tcPr>
            <w:tcW w:w="4965" w:type="dxa"/>
          </w:tcPr>
          <w:p>
            <w:pPr>
              <w:pStyle w:val="TableParagraph"/>
              <w:spacing w:line="211" w:lineRule="exact"/>
              <w:rPr>
                <w:sz w:val="20"/>
              </w:rPr>
            </w:pPr>
            <w:r>
              <w:rPr>
                <w:color w:val="0D0D0D"/>
                <w:sz w:val="20"/>
              </w:rPr>
              <w:t>Parcel Freight Logistics</w:t>
            </w:r>
          </w:p>
        </w:tc>
        <w:tc>
          <w:tcPr>
            <w:tcW w:w="3702" w:type="dxa"/>
          </w:tcPr>
          <w:p>
            <w:pPr>
              <w:pStyle w:val="TableParagraph"/>
              <w:spacing w:line="211" w:lineRule="exact"/>
              <w:rPr>
                <w:sz w:val="20"/>
              </w:rPr>
            </w:pPr>
            <w:r>
              <w:rPr>
                <w:color w:val="0D0D0D"/>
                <w:sz w:val="20"/>
              </w:rPr>
              <w:t>Domenico Rucci</w:t>
            </w:r>
          </w:p>
        </w:tc>
      </w:tr>
      <w:tr>
        <w:trPr>
          <w:trHeight w:val="230" w:hRule="atLeast"/>
        </w:trPr>
        <w:tc>
          <w:tcPr>
            <w:tcW w:w="4965" w:type="dxa"/>
          </w:tcPr>
          <w:p>
            <w:pPr>
              <w:pStyle w:val="TableParagraph"/>
              <w:ind w:left="0"/>
              <w:rPr>
                <w:rFonts w:ascii="Times New Roman"/>
                <w:sz w:val="16"/>
              </w:rPr>
            </w:pPr>
          </w:p>
        </w:tc>
        <w:tc>
          <w:tcPr>
            <w:tcW w:w="3702" w:type="dxa"/>
          </w:tcPr>
          <w:p>
            <w:pPr>
              <w:pStyle w:val="TableParagraph"/>
              <w:spacing w:line="210" w:lineRule="exact"/>
              <w:rPr>
                <w:sz w:val="20"/>
              </w:rPr>
            </w:pPr>
            <w:r>
              <w:rPr>
                <w:color w:val="0D0D0D"/>
                <w:sz w:val="20"/>
              </w:rPr>
              <w:t>Steven Scodeller</w:t>
            </w:r>
          </w:p>
        </w:tc>
      </w:tr>
      <w:tr>
        <w:trPr>
          <w:trHeight w:val="230" w:hRule="atLeast"/>
        </w:trPr>
        <w:tc>
          <w:tcPr>
            <w:tcW w:w="4965" w:type="dxa"/>
          </w:tcPr>
          <w:p>
            <w:pPr>
              <w:pStyle w:val="TableParagraph"/>
              <w:spacing w:line="210" w:lineRule="exact"/>
              <w:rPr>
                <w:sz w:val="20"/>
              </w:rPr>
            </w:pPr>
            <w:r>
              <w:rPr>
                <w:color w:val="0D0D0D"/>
                <w:sz w:val="20"/>
              </w:rPr>
              <w:t>ABN 88 163 848 208</w:t>
            </w:r>
          </w:p>
        </w:tc>
        <w:tc>
          <w:tcPr>
            <w:tcW w:w="3702" w:type="dxa"/>
          </w:tcPr>
          <w:p>
            <w:pPr>
              <w:pStyle w:val="TableParagraph"/>
              <w:spacing w:line="210" w:lineRule="exact"/>
              <w:rPr>
                <w:sz w:val="20"/>
              </w:rPr>
            </w:pPr>
            <w:r>
              <w:rPr>
                <w:color w:val="0D0D0D"/>
                <w:sz w:val="20"/>
              </w:rPr>
              <w:t>Daniel James Begley</w:t>
            </w:r>
          </w:p>
        </w:tc>
      </w:tr>
      <w:tr>
        <w:trPr>
          <w:trHeight w:val="230" w:hRule="atLeast"/>
        </w:trPr>
        <w:tc>
          <w:tcPr>
            <w:tcW w:w="4965" w:type="dxa"/>
          </w:tcPr>
          <w:p>
            <w:pPr>
              <w:pStyle w:val="TableParagraph"/>
              <w:ind w:left="0"/>
              <w:rPr>
                <w:rFonts w:ascii="Times New Roman"/>
                <w:sz w:val="16"/>
              </w:rPr>
            </w:pPr>
          </w:p>
        </w:tc>
        <w:tc>
          <w:tcPr>
            <w:tcW w:w="3702" w:type="dxa"/>
          </w:tcPr>
          <w:p>
            <w:pPr>
              <w:pStyle w:val="TableParagraph"/>
              <w:spacing w:line="210" w:lineRule="exact"/>
              <w:rPr>
                <w:sz w:val="20"/>
              </w:rPr>
            </w:pPr>
            <w:r>
              <w:rPr>
                <w:color w:val="0D0D0D"/>
                <w:sz w:val="20"/>
              </w:rPr>
              <w:t>Jason Gordon Pataki</w:t>
            </w:r>
          </w:p>
        </w:tc>
      </w:tr>
      <w:tr>
        <w:trPr>
          <w:trHeight w:val="230" w:hRule="atLeast"/>
        </w:trPr>
        <w:tc>
          <w:tcPr>
            <w:tcW w:w="4965" w:type="dxa"/>
          </w:tcPr>
          <w:p>
            <w:pPr>
              <w:pStyle w:val="TableParagraph"/>
              <w:spacing w:line="210" w:lineRule="exact"/>
              <w:rPr>
                <w:sz w:val="20"/>
              </w:rPr>
            </w:pPr>
            <w:r>
              <w:rPr>
                <w:color w:val="0D0D0D"/>
                <w:sz w:val="20"/>
              </w:rPr>
              <w:t>Unit 4</w:t>
            </w:r>
          </w:p>
        </w:tc>
        <w:tc>
          <w:tcPr>
            <w:tcW w:w="3702" w:type="dxa"/>
          </w:tcPr>
          <w:p>
            <w:pPr>
              <w:pStyle w:val="TableParagraph"/>
              <w:spacing w:line="210" w:lineRule="exact"/>
              <w:rPr>
                <w:sz w:val="20"/>
              </w:rPr>
            </w:pPr>
            <w:r>
              <w:rPr>
                <w:color w:val="0D0D0D"/>
                <w:sz w:val="20"/>
              </w:rPr>
              <w:t>Jingying Tan</w:t>
            </w:r>
          </w:p>
        </w:tc>
      </w:tr>
      <w:tr>
        <w:trPr>
          <w:trHeight w:val="229" w:hRule="atLeast"/>
        </w:trPr>
        <w:tc>
          <w:tcPr>
            <w:tcW w:w="4965" w:type="dxa"/>
          </w:tcPr>
          <w:p>
            <w:pPr>
              <w:pStyle w:val="TableParagraph"/>
              <w:spacing w:line="210" w:lineRule="exact"/>
              <w:rPr>
                <w:sz w:val="20"/>
              </w:rPr>
            </w:pPr>
            <w:r>
              <w:rPr>
                <w:color w:val="0D0D0D"/>
                <w:sz w:val="20"/>
              </w:rPr>
              <w:t>26-32 Cosgrove Road</w:t>
            </w:r>
          </w:p>
        </w:tc>
        <w:tc>
          <w:tcPr>
            <w:tcW w:w="3702" w:type="dxa"/>
          </w:tcPr>
          <w:p>
            <w:pPr>
              <w:pStyle w:val="TableParagraph"/>
              <w:spacing w:line="210" w:lineRule="exact"/>
              <w:rPr>
                <w:sz w:val="20"/>
              </w:rPr>
            </w:pPr>
            <w:r>
              <w:rPr>
                <w:color w:val="0D0D0D"/>
                <w:sz w:val="20"/>
              </w:rPr>
              <w:t>Zhenxiong He</w:t>
            </w:r>
          </w:p>
        </w:tc>
      </w:tr>
      <w:tr>
        <w:trPr>
          <w:trHeight w:val="230" w:hRule="atLeast"/>
        </w:trPr>
        <w:tc>
          <w:tcPr>
            <w:tcW w:w="4965" w:type="dxa"/>
          </w:tcPr>
          <w:p>
            <w:pPr>
              <w:pStyle w:val="TableParagraph"/>
              <w:spacing w:line="210" w:lineRule="exact"/>
              <w:rPr>
                <w:sz w:val="20"/>
              </w:rPr>
            </w:pPr>
            <w:r>
              <w:rPr>
                <w:color w:val="0D0D0D"/>
                <w:sz w:val="20"/>
              </w:rPr>
              <w:t>ENFIELD NSW 2136</w:t>
            </w:r>
          </w:p>
        </w:tc>
        <w:tc>
          <w:tcPr>
            <w:tcW w:w="3702" w:type="dxa"/>
          </w:tcPr>
          <w:p>
            <w:pPr>
              <w:pStyle w:val="TableParagraph"/>
              <w:spacing w:line="210" w:lineRule="exact"/>
              <w:rPr>
                <w:sz w:val="20"/>
              </w:rPr>
            </w:pPr>
            <w:r>
              <w:rPr>
                <w:color w:val="0D0D0D"/>
                <w:sz w:val="20"/>
              </w:rPr>
              <w:t>Valeriy Arkhipov</w:t>
            </w:r>
          </w:p>
        </w:tc>
      </w:tr>
      <w:tr>
        <w:trPr>
          <w:trHeight w:val="230" w:hRule="atLeast"/>
        </w:trPr>
        <w:tc>
          <w:tcPr>
            <w:tcW w:w="4965" w:type="dxa"/>
          </w:tcPr>
          <w:p>
            <w:pPr>
              <w:pStyle w:val="TableParagraph"/>
              <w:ind w:left="0"/>
              <w:rPr>
                <w:rFonts w:ascii="Times New Roman"/>
                <w:sz w:val="16"/>
              </w:rPr>
            </w:pPr>
          </w:p>
        </w:tc>
        <w:tc>
          <w:tcPr>
            <w:tcW w:w="3702" w:type="dxa"/>
          </w:tcPr>
          <w:p>
            <w:pPr>
              <w:pStyle w:val="TableParagraph"/>
              <w:ind w:left="0"/>
              <w:rPr>
                <w:rFonts w:ascii="Times New Roman"/>
                <w:sz w:val="16"/>
              </w:rPr>
            </w:pPr>
          </w:p>
        </w:tc>
      </w:tr>
      <w:tr>
        <w:trPr>
          <w:trHeight w:val="230" w:hRule="atLeast"/>
        </w:trPr>
        <w:tc>
          <w:tcPr>
            <w:tcW w:w="4965" w:type="dxa"/>
          </w:tcPr>
          <w:p>
            <w:pPr>
              <w:pStyle w:val="TableParagraph"/>
              <w:spacing w:line="210" w:lineRule="exact"/>
              <w:rPr>
                <w:b/>
                <w:sz w:val="20"/>
              </w:rPr>
            </w:pPr>
            <w:r>
              <w:rPr>
                <w:b/>
                <w:color w:val="0D0D0D"/>
                <w:sz w:val="20"/>
                <w:u w:val="thick" w:color="0D0D0D"/>
              </w:rPr>
              <w:t>Persons in Authority</w:t>
            </w:r>
          </w:p>
        </w:tc>
        <w:tc>
          <w:tcPr>
            <w:tcW w:w="3702" w:type="dxa"/>
          </w:tcPr>
          <w:p>
            <w:pPr>
              <w:pStyle w:val="TableParagraph"/>
              <w:ind w:left="0"/>
              <w:rPr>
                <w:rFonts w:ascii="Times New Roman"/>
                <w:sz w:val="16"/>
              </w:rPr>
            </w:pPr>
          </w:p>
        </w:tc>
      </w:tr>
      <w:tr>
        <w:trPr>
          <w:trHeight w:val="230" w:hRule="atLeast"/>
        </w:trPr>
        <w:tc>
          <w:tcPr>
            <w:tcW w:w="4965" w:type="dxa"/>
          </w:tcPr>
          <w:p>
            <w:pPr>
              <w:pStyle w:val="TableParagraph"/>
              <w:spacing w:line="210" w:lineRule="exact"/>
              <w:rPr>
                <w:sz w:val="20"/>
              </w:rPr>
            </w:pPr>
            <w:r>
              <w:rPr>
                <w:color w:val="0D0D0D"/>
                <w:sz w:val="20"/>
              </w:rPr>
              <w:t>Bo Feng</w:t>
            </w:r>
          </w:p>
        </w:tc>
        <w:tc>
          <w:tcPr>
            <w:tcW w:w="3702" w:type="dxa"/>
          </w:tcPr>
          <w:p>
            <w:pPr>
              <w:pStyle w:val="TableParagraph"/>
              <w:ind w:left="0"/>
              <w:rPr>
                <w:rFonts w:ascii="Times New Roman"/>
                <w:sz w:val="16"/>
              </w:rPr>
            </w:pPr>
          </w:p>
        </w:tc>
      </w:tr>
      <w:tr>
        <w:trPr>
          <w:trHeight w:val="230" w:hRule="atLeast"/>
        </w:trPr>
        <w:tc>
          <w:tcPr>
            <w:tcW w:w="4965" w:type="dxa"/>
          </w:tcPr>
          <w:p>
            <w:pPr>
              <w:pStyle w:val="TableParagraph"/>
              <w:spacing w:line="210" w:lineRule="exact"/>
              <w:rPr>
                <w:sz w:val="20"/>
              </w:rPr>
            </w:pPr>
            <w:r>
              <w:rPr>
                <w:color w:val="0D0D0D"/>
                <w:sz w:val="20"/>
              </w:rPr>
              <w:t>Yehan Zhou</w:t>
            </w:r>
          </w:p>
        </w:tc>
        <w:tc>
          <w:tcPr>
            <w:tcW w:w="3702" w:type="dxa"/>
          </w:tcPr>
          <w:p>
            <w:pPr>
              <w:pStyle w:val="TableParagraph"/>
              <w:ind w:left="0"/>
              <w:rPr>
                <w:rFonts w:ascii="Times New Roman"/>
                <w:sz w:val="16"/>
              </w:rPr>
            </w:pPr>
          </w:p>
        </w:tc>
      </w:tr>
      <w:tr>
        <w:trPr>
          <w:trHeight w:val="230" w:hRule="atLeast"/>
        </w:trPr>
        <w:tc>
          <w:tcPr>
            <w:tcW w:w="4965" w:type="dxa"/>
          </w:tcPr>
          <w:p>
            <w:pPr>
              <w:pStyle w:val="TableParagraph"/>
              <w:ind w:left="0"/>
              <w:rPr>
                <w:rFonts w:ascii="Times New Roman"/>
                <w:sz w:val="16"/>
              </w:rPr>
            </w:pPr>
          </w:p>
        </w:tc>
        <w:tc>
          <w:tcPr>
            <w:tcW w:w="3702" w:type="dxa"/>
          </w:tcPr>
          <w:p>
            <w:pPr>
              <w:pStyle w:val="TableParagraph"/>
              <w:ind w:left="0"/>
              <w:rPr>
                <w:rFonts w:ascii="Times New Roman"/>
                <w:sz w:val="16"/>
              </w:rPr>
            </w:pPr>
          </w:p>
        </w:tc>
      </w:tr>
      <w:tr>
        <w:trPr>
          <w:trHeight w:val="230" w:hRule="atLeast"/>
        </w:trPr>
        <w:tc>
          <w:tcPr>
            <w:tcW w:w="4965" w:type="dxa"/>
          </w:tcPr>
          <w:p>
            <w:pPr>
              <w:pStyle w:val="TableParagraph"/>
              <w:spacing w:line="210" w:lineRule="exact"/>
              <w:rPr>
                <w:b/>
                <w:sz w:val="20"/>
              </w:rPr>
            </w:pPr>
            <w:r>
              <w:rPr>
                <w:b/>
                <w:color w:val="0D0D0D"/>
                <w:sz w:val="20"/>
                <w:u w:val="thick" w:color="0D0D0D"/>
              </w:rPr>
              <w:t>Nominee Broker</w:t>
            </w:r>
          </w:p>
        </w:tc>
        <w:tc>
          <w:tcPr>
            <w:tcW w:w="3702" w:type="dxa"/>
          </w:tcPr>
          <w:p>
            <w:pPr>
              <w:pStyle w:val="TableParagraph"/>
              <w:ind w:left="0"/>
              <w:rPr>
                <w:rFonts w:ascii="Times New Roman"/>
                <w:sz w:val="16"/>
              </w:rPr>
            </w:pPr>
          </w:p>
        </w:tc>
      </w:tr>
      <w:tr>
        <w:trPr>
          <w:trHeight w:val="230" w:hRule="atLeast"/>
        </w:trPr>
        <w:tc>
          <w:tcPr>
            <w:tcW w:w="4965" w:type="dxa"/>
          </w:tcPr>
          <w:p>
            <w:pPr>
              <w:pStyle w:val="TableParagraph"/>
              <w:spacing w:line="210" w:lineRule="exact"/>
              <w:rPr>
                <w:sz w:val="20"/>
              </w:rPr>
            </w:pPr>
            <w:r>
              <w:rPr>
                <w:color w:val="0D0D0D"/>
                <w:sz w:val="20"/>
              </w:rPr>
              <w:t>Yanning Fan</w:t>
            </w:r>
          </w:p>
        </w:tc>
        <w:tc>
          <w:tcPr>
            <w:tcW w:w="3702" w:type="dxa"/>
          </w:tcPr>
          <w:p>
            <w:pPr>
              <w:pStyle w:val="TableParagraph"/>
              <w:ind w:left="0"/>
              <w:rPr>
                <w:rFonts w:ascii="Times New Roman"/>
                <w:sz w:val="16"/>
              </w:rPr>
            </w:pPr>
          </w:p>
        </w:tc>
      </w:tr>
      <w:tr>
        <w:trPr>
          <w:trHeight w:val="230" w:hRule="atLeast"/>
        </w:trPr>
        <w:tc>
          <w:tcPr>
            <w:tcW w:w="4965" w:type="dxa"/>
          </w:tcPr>
          <w:p>
            <w:pPr>
              <w:pStyle w:val="TableParagraph"/>
              <w:ind w:left="0"/>
              <w:rPr>
                <w:rFonts w:ascii="Times New Roman"/>
                <w:sz w:val="16"/>
              </w:rPr>
            </w:pPr>
          </w:p>
        </w:tc>
        <w:tc>
          <w:tcPr>
            <w:tcW w:w="3702" w:type="dxa"/>
          </w:tcPr>
          <w:p>
            <w:pPr>
              <w:pStyle w:val="TableParagraph"/>
              <w:ind w:left="0"/>
              <w:rPr>
                <w:rFonts w:ascii="Times New Roman"/>
                <w:sz w:val="16"/>
              </w:rPr>
            </w:pPr>
          </w:p>
        </w:tc>
      </w:tr>
      <w:tr>
        <w:trPr>
          <w:trHeight w:val="230" w:hRule="atLeast"/>
        </w:trPr>
        <w:tc>
          <w:tcPr>
            <w:tcW w:w="4965" w:type="dxa"/>
          </w:tcPr>
          <w:p>
            <w:pPr>
              <w:pStyle w:val="TableParagraph"/>
              <w:ind w:left="0"/>
              <w:rPr>
                <w:rFonts w:ascii="Times New Roman"/>
                <w:sz w:val="16"/>
              </w:rPr>
            </w:pPr>
          </w:p>
        </w:tc>
        <w:tc>
          <w:tcPr>
            <w:tcW w:w="3702" w:type="dxa"/>
          </w:tcPr>
          <w:p>
            <w:pPr>
              <w:pStyle w:val="TableParagraph"/>
              <w:ind w:left="0"/>
              <w:rPr>
                <w:rFonts w:ascii="Times New Roman"/>
                <w:sz w:val="16"/>
              </w:rPr>
            </w:pPr>
          </w:p>
        </w:tc>
      </w:tr>
    </w:tbl>
    <w:p>
      <w:pPr>
        <w:pStyle w:val="BodyText"/>
        <w:spacing w:before="1"/>
        <w:rPr>
          <w:sz w:val="22"/>
        </w:rPr>
      </w:pPr>
    </w:p>
    <w:p>
      <w:pPr>
        <w:pStyle w:val="BodyText"/>
        <w:ind w:left="720" w:right="1031"/>
      </w:pPr>
      <w:r>
        <w:rPr>
          <w:color w:val="0D0D0D"/>
        </w:rPr>
        <w:t>Any person wishing to make written representation in respect of any of these applications should address the correspondence by 31 July 2018 to:</w:t>
      </w:r>
    </w:p>
    <w:p>
      <w:pPr>
        <w:pStyle w:val="BodyText"/>
        <w:spacing w:before="6"/>
      </w:pPr>
    </w:p>
    <w:tbl>
      <w:tblPr>
        <w:tblW w:w="0" w:type="auto"/>
        <w:jc w:val="left"/>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2"/>
        <w:gridCol w:w="4756"/>
      </w:tblGrid>
      <w:tr>
        <w:trPr>
          <w:trHeight w:val="911" w:hRule="atLeast"/>
        </w:trPr>
        <w:tc>
          <w:tcPr>
            <w:tcW w:w="3832" w:type="dxa"/>
          </w:tcPr>
          <w:p>
            <w:pPr>
              <w:pStyle w:val="TableParagraph"/>
              <w:ind w:left="200" w:right="1133"/>
              <w:rPr>
                <w:sz w:val="20"/>
              </w:rPr>
            </w:pPr>
            <w:r>
              <w:rPr>
                <w:sz w:val="20"/>
              </w:rPr>
              <w:t>Broker Licensing </w:t>
            </w:r>
            <w:r>
              <w:rPr>
                <w:color w:val="0D0D0D"/>
                <w:sz w:val="20"/>
              </w:rPr>
              <w:t>Department of Home Affairs </w:t>
            </w:r>
            <w:r>
              <w:rPr>
                <w:sz w:val="20"/>
              </w:rPr>
              <w:t>5 Constitution Avenue</w:t>
            </w:r>
          </w:p>
          <w:p>
            <w:pPr>
              <w:pStyle w:val="TableParagraph"/>
              <w:spacing w:line="209" w:lineRule="exact"/>
              <w:ind w:left="200"/>
              <w:rPr>
                <w:sz w:val="20"/>
              </w:rPr>
            </w:pPr>
            <w:r>
              <w:rPr>
                <w:sz w:val="20"/>
              </w:rPr>
              <w:t>CANBERRA ACT 2601</w:t>
            </w:r>
          </w:p>
        </w:tc>
        <w:tc>
          <w:tcPr>
            <w:tcW w:w="4756" w:type="dxa"/>
          </w:tcPr>
          <w:p>
            <w:pPr>
              <w:pStyle w:val="TableParagraph"/>
              <w:spacing w:before="115"/>
              <w:ind w:left="1154"/>
              <w:rPr>
                <w:sz w:val="20"/>
              </w:rPr>
            </w:pPr>
            <w:r>
              <w:rPr>
                <w:sz w:val="20"/>
              </w:rPr>
              <w:t>Or email: </w:t>
            </w:r>
            <w:hyperlink r:id="rId6">
              <w:r>
                <w:rPr>
                  <w:color w:val="001F5F"/>
                  <w:w w:val="95"/>
                  <w:sz w:val="20"/>
                  <w:u w:val="single" w:color="001F5F"/>
                </w:rPr>
                <w:t>brokers.licensing@homeaffairs.gov.au</w:t>
              </w:r>
            </w:hyperlink>
          </w:p>
        </w:tc>
      </w:tr>
    </w:tbl>
    <w:p>
      <w:pPr>
        <w:pStyle w:val="BodyText"/>
        <w:spacing w:before="3"/>
        <w:rPr>
          <w:sz w:val="21"/>
        </w:rPr>
      </w:pPr>
    </w:p>
    <w:p>
      <w:pPr>
        <w:pStyle w:val="BodyText"/>
        <w:spacing w:before="1"/>
        <w:ind w:left="720" w:right="648"/>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6"/>
        <w:rPr>
          <w:sz w:val="30"/>
        </w:rPr>
      </w:pPr>
    </w:p>
    <w:p>
      <w:pPr>
        <w:pStyle w:val="BodyText"/>
        <w:ind w:left="720"/>
      </w:pPr>
      <w:r>
        <w:rPr/>
        <w:t>[signed]</w:t>
      </w:r>
    </w:p>
    <w:p>
      <w:pPr>
        <w:pStyle w:val="BodyText"/>
        <w:spacing w:before="10"/>
        <w:rPr>
          <w:sz w:val="19"/>
        </w:rPr>
      </w:pPr>
    </w:p>
    <w:p>
      <w:pPr>
        <w:pStyle w:val="BodyText"/>
        <w:ind w:left="720" w:right="9401"/>
      </w:pPr>
      <w:r>
        <w:rPr>
          <w:color w:val="0D0D0D"/>
        </w:rPr>
        <w:t>Steve </w:t>
      </w:r>
      <w:r>
        <w:rPr>
          <w:color w:val="0D0D0D"/>
          <w:spacing w:val="-5"/>
        </w:rPr>
        <w:t>Moore </w:t>
      </w:r>
      <w:r>
        <w:rPr>
          <w:color w:val="0D0D0D"/>
        </w:rPr>
        <w:t>Director</w:t>
      </w:r>
    </w:p>
    <w:p>
      <w:pPr>
        <w:pStyle w:val="BodyText"/>
        <w:spacing w:before="2"/>
        <w:ind w:left="720"/>
      </w:pPr>
      <w:r>
        <w:rPr>
          <w:color w:val="0D0D0D"/>
        </w:rPr>
        <w:t>Customs Licensing Section</w:t>
      </w:r>
    </w:p>
    <w:p>
      <w:pPr>
        <w:pStyle w:val="BodyText"/>
        <w:ind w:left="720" w:right="7790"/>
      </w:pPr>
      <w:r>
        <w:rPr>
          <w:color w:val="0D0D0D"/>
        </w:rPr>
        <w:t>Customs and Border Revenue Branch CANBERRA ACT</w:t>
      </w:r>
    </w:p>
    <w:p>
      <w:pPr>
        <w:pStyle w:val="BodyText"/>
        <w:spacing w:before="10"/>
        <w:rPr>
          <w:sz w:val="19"/>
        </w:rPr>
      </w:pPr>
    </w:p>
    <w:p>
      <w:pPr>
        <w:pStyle w:val="BodyText"/>
        <w:ind w:left="720"/>
      </w:pPr>
      <w:r>
        <w:rPr>
          <w:color w:val="0D0D0D"/>
        </w:rPr>
        <w:t>15 July 2018</w:t>
      </w:r>
    </w:p>
    <w:p>
      <w:pPr>
        <w:pStyle w:val="BodyText"/>
      </w:pPr>
    </w:p>
    <w:p>
      <w:pPr>
        <w:pStyle w:val="BodyText"/>
      </w:pPr>
    </w:p>
    <w:p>
      <w:pPr>
        <w:pStyle w:val="BodyText"/>
      </w:pPr>
    </w:p>
    <w:p>
      <w:pPr>
        <w:pStyle w:val="BodyText"/>
      </w:pPr>
    </w:p>
    <w:p>
      <w:pPr>
        <w:pStyle w:val="BodyText"/>
      </w:pPr>
    </w:p>
    <w:p>
      <w:pPr>
        <w:pStyle w:val="BodyText"/>
        <w:spacing w:before="10"/>
        <w:rPr>
          <w:sz w:val="14"/>
        </w:rPr>
      </w:pPr>
      <w:r>
        <w:rPr/>
        <w:pict>
          <v:rect style="position:absolute;margin-left:56.664001pt;margin-top:10.499351pt;width:482.02pt;height:.47998pt;mso-position-horizontal-relative:page;mso-position-vertical-relative:paragraph;z-index:-15728128;mso-wrap-distance-left:0;mso-wrap-distance-right:0" filled="true" fillcolor="#000000" stroked="false">
            <v:fill type="solid"/>
            <w10:wrap type="topAndBottom"/>
          </v:rect>
        </w:pict>
      </w:r>
    </w:p>
    <w:p>
      <w:pPr>
        <w:spacing w:before="130"/>
        <w:ind w:left="2091" w:right="2092" w:firstLine="0"/>
        <w:jc w:val="center"/>
        <w:rPr>
          <w:sz w:val="16"/>
        </w:rPr>
      </w:pPr>
      <w:r>
        <w:rPr>
          <w:sz w:val="16"/>
        </w:rPr>
        <w:t>6 Chan Street Belconnen ACT 2617</w:t>
      </w:r>
    </w:p>
    <w:p>
      <w:pPr>
        <w:spacing w:before="18"/>
        <w:ind w:left="2092" w:right="2092" w:firstLine="0"/>
        <w:jc w:val="center"/>
        <w:rPr>
          <w:sz w:val="16"/>
        </w:rPr>
      </w:pPr>
      <w:r>
        <w:rPr>
          <w:sz w:val="16"/>
        </w:rPr>
        <w:t>PO Box 25 Belconnen ACT 2616 • Telephone: 02 6264 1111 • Fax: 02 6225 6970 • </w:t>
      </w:r>
      <w:hyperlink r:id="rId7">
        <w:r>
          <w:rPr>
            <w:sz w:val="16"/>
          </w:rPr>
          <w:t>www.homeaffairs.gov.au</w:t>
        </w:r>
      </w:hyperlink>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US" w:bidi="ar-SA"/>
    </w:rPr>
  </w:style>
  <w:style w:styleId="BodyText" w:type="paragraph">
    <w:name w:val="Body Text"/>
    <w:basedOn w:val="Normal"/>
    <w:uiPriority w:val="1"/>
    <w:qFormat/>
    <w:pPr/>
    <w:rPr>
      <w:rFonts w:ascii="Arial" w:hAnsi="Arial" w:eastAsia="Arial" w:cs="Arial"/>
      <w:sz w:val="20"/>
      <w:szCs w:val="20"/>
      <w:lang w:val="en-gb" w:eastAsia="en-US" w:bidi="ar-SA"/>
    </w:rPr>
  </w:style>
  <w:style w:styleId="Title" w:type="paragraph">
    <w:name w:val="Title"/>
    <w:basedOn w:val="Normal"/>
    <w:uiPriority w:val="1"/>
    <w:qFormat/>
    <w:pPr>
      <w:spacing w:before="91"/>
      <w:ind w:left="2091" w:right="1639"/>
      <w:jc w:val="center"/>
    </w:pPr>
    <w:rPr>
      <w:rFonts w:ascii="Arial" w:hAnsi="Arial" w:eastAsia="Arial" w:cs="Arial"/>
      <w:b/>
      <w:bCs/>
      <w:sz w:val="28"/>
      <w:szCs w:val="28"/>
      <w:lang w:val="en-gb" w:eastAsia="en-US" w:bidi="ar-SA"/>
    </w:rPr>
  </w:style>
  <w:style w:styleId="ListParagraph" w:type="paragraph">
    <w:name w:val="List Paragraph"/>
    <w:basedOn w:val="Normal"/>
    <w:uiPriority w:val="1"/>
    <w:qFormat/>
    <w:pPr/>
    <w:rPr>
      <w:lang w:val="en-gb" w:eastAsia="en-US" w:bidi="ar-SA"/>
    </w:rPr>
  </w:style>
  <w:style w:styleId="TableParagraph" w:type="paragraph">
    <w:name w:val="Table Paragraph"/>
    <w:basedOn w:val="Normal"/>
    <w:uiPriority w:val="1"/>
    <w:qFormat/>
    <w:pPr>
      <w:ind w:left="107"/>
    </w:pPr>
    <w:rPr>
      <w:rFonts w:ascii="Arial" w:hAnsi="Arial" w:eastAsia="Arial" w:cs="Arial"/>
      <w:lang w:val="en-gb"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homeaffairs.gov.au" TargetMode="External"/><Relationship Id="rId7" Type="http://schemas.openxmlformats.org/officeDocument/2006/relationships/hyperlink" Target="http://www.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HA Notice 2018/22</cp:keywords>
  <dc:subject>HA Notice 2018/22</dc:subject>
  <dc:title>Applications for Customs Broker Licences</dc:title>
  <dcterms:created xsi:type="dcterms:W3CDTF">2020-12-09T22:33:13Z</dcterms:created>
  <dcterms:modified xsi:type="dcterms:W3CDTF">2020-12-09T22:33:13Z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2018-07-17T00:00:00Z</vt:filetime>
  </property>
  <property fmtid="{D5CDD505-2E9C-101B-9397-08002B2CF9AE}" pid="3" name="Creator">
    <vt:lpwstr>Microsoft® Word 2016</vt:lpwstr>
  </property>
  <property fmtid="{D5CDD505-2E9C-101B-9397-08002B2CF9AE}" pid="4" name="LastSaved">
    <vt:filetime>2020-12-09T00:00:00Z</vt:filetime>
  </property>
</Properties>
</file>