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1" simplePos="0" relativeHeight="487489024">
            <wp:simplePos x="0" y="0"/>
            <wp:positionH relativeFrom="page">
              <wp:posOffset>0</wp:posOffset>
            </wp:positionH>
            <wp:positionV relativeFrom="page">
              <wp:posOffset>4571</wp:posOffset>
            </wp:positionV>
            <wp:extent cx="7559675" cy="1532762"/>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1532762"/>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21"/>
        </w:rPr>
      </w:pPr>
    </w:p>
    <w:p>
      <w:pPr>
        <w:pStyle w:val="Title"/>
        <w:spacing w:line="264" w:lineRule="auto"/>
      </w:pPr>
      <w:r>
        <w:rPr>
          <w:color w:val="034EA1"/>
        </w:rPr>
        <w:t>DEPARTMENT OF HOME AFFAIRS NOTICE No. 2018/29</w:t>
      </w:r>
    </w:p>
    <w:p>
      <w:pPr>
        <w:spacing w:before="356"/>
        <w:ind w:left="1843" w:right="1651" w:firstLine="0"/>
        <w:jc w:val="center"/>
        <w:rPr>
          <w:b/>
          <w:sz w:val="32"/>
        </w:rPr>
      </w:pPr>
      <w:r>
        <w:rPr>
          <w:b/>
          <w:sz w:val="32"/>
        </w:rPr>
        <w:t>Applications for Customs Broker Licence</w:t>
      </w:r>
    </w:p>
    <w:p>
      <w:pPr>
        <w:pStyle w:val="BodyText"/>
        <w:spacing w:before="284"/>
        <w:ind w:left="193" w:right="101"/>
      </w:pPr>
      <w:r>
        <w:rPr/>
        <w:t>The following individuals and companies have applied to the Comptroller-General of Customs for a customs broker licence.</w:t>
      </w:r>
    </w:p>
    <w:p>
      <w:pPr>
        <w:pStyle w:val="BodyText"/>
        <w:spacing w:before="6"/>
        <w:rPr>
          <w:sz w:val="22"/>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3"/>
        <w:gridCol w:w="3638"/>
        <w:gridCol w:w="2096"/>
      </w:tblGrid>
      <w:tr>
        <w:trPr>
          <w:trHeight w:val="228" w:hRule="atLeast"/>
        </w:trPr>
        <w:tc>
          <w:tcPr>
            <w:tcW w:w="3383" w:type="dxa"/>
          </w:tcPr>
          <w:p>
            <w:pPr>
              <w:pStyle w:val="TableParagraph"/>
              <w:spacing w:line="208" w:lineRule="exact"/>
              <w:ind w:left="200"/>
              <w:rPr>
                <w:b/>
                <w:sz w:val="20"/>
              </w:rPr>
            </w:pPr>
            <w:r>
              <w:rPr>
                <w:b/>
                <w:color w:val="0D0D0D"/>
                <w:sz w:val="20"/>
                <w:u w:val="thick" w:color="0D0D0D"/>
              </w:rPr>
              <w:t>COMPANY</w:t>
            </w:r>
          </w:p>
        </w:tc>
        <w:tc>
          <w:tcPr>
            <w:tcW w:w="3638" w:type="dxa"/>
          </w:tcPr>
          <w:p>
            <w:pPr>
              <w:pStyle w:val="TableParagraph"/>
              <w:spacing w:line="208" w:lineRule="exact"/>
              <w:ind w:left="215"/>
              <w:rPr>
                <w:b/>
                <w:sz w:val="20"/>
              </w:rPr>
            </w:pPr>
            <w:r>
              <w:rPr>
                <w:b/>
                <w:color w:val="0D0D0D"/>
                <w:sz w:val="20"/>
                <w:u w:val="thick" w:color="0D0D0D"/>
              </w:rPr>
              <w:t>COMPANY</w:t>
            </w:r>
          </w:p>
        </w:tc>
        <w:tc>
          <w:tcPr>
            <w:tcW w:w="2096" w:type="dxa"/>
          </w:tcPr>
          <w:p>
            <w:pPr>
              <w:pStyle w:val="TableParagraph"/>
              <w:spacing w:line="208" w:lineRule="exact"/>
              <w:ind w:left="265"/>
              <w:rPr>
                <w:b/>
                <w:sz w:val="20"/>
              </w:rPr>
            </w:pPr>
            <w:r>
              <w:rPr>
                <w:b/>
                <w:color w:val="0D0D0D"/>
                <w:sz w:val="20"/>
                <w:u w:val="thick" w:color="0D0D0D"/>
              </w:rPr>
              <w:t>INDIVIDUALS</w:t>
            </w:r>
          </w:p>
        </w:tc>
      </w:tr>
      <w:tr>
        <w:trPr>
          <w:trHeight w:val="231" w:hRule="atLeast"/>
        </w:trPr>
        <w:tc>
          <w:tcPr>
            <w:tcW w:w="3383" w:type="dxa"/>
          </w:tcPr>
          <w:p>
            <w:pPr>
              <w:pStyle w:val="TableParagraph"/>
              <w:spacing w:line="211" w:lineRule="exact"/>
              <w:ind w:left="200"/>
              <w:rPr>
                <w:sz w:val="20"/>
              </w:rPr>
            </w:pPr>
            <w:r>
              <w:rPr>
                <w:color w:val="0D0D0D"/>
                <w:sz w:val="20"/>
              </w:rPr>
              <w:t>AMW Trade Consultants Pty. Ltd.</w:t>
            </w:r>
          </w:p>
        </w:tc>
        <w:tc>
          <w:tcPr>
            <w:tcW w:w="3638" w:type="dxa"/>
          </w:tcPr>
          <w:p>
            <w:pPr>
              <w:pStyle w:val="TableParagraph"/>
              <w:spacing w:line="211" w:lineRule="exact"/>
              <w:ind w:left="215"/>
              <w:rPr>
                <w:sz w:val="20"/>
              </w:rPr>
            </w:pPr>
            <w:r>
              <w:rPr>
                <w:color w:val="0D0D0D"/>
                <w:sz w:val="20"/>
              </w:rPr>
              <w:t>Crane Worldwide Logistics Pty. Ltd.</w:t>
            </w:r>
          </w:p>
        </w:tc>
        <w:tc>
          <w:tcPr>
            <w:tcW w:w="2096" w:type="dxa"/>
          </w:tcPr>
          <w:p>
            <w:pPr>
              <w:pStyle w:val="TableParagraph"/>
              <w:spacing w:line="211" w:lineRule="exact"/>
              <w:ind w:left="265"/>
              <w:rPr>
                <w:sz w:val="20"/>
              </w:rPr>
            </w:pPr>
            <w:r>
              <w:rPr>
                <w:color w:val="0D0D0D"/>
                <w:sz w:val="20"/>
              </w:rPr>
              <w:t>Vikram Dhingra</w:t>
            </w:r>
          </w:p>
        </w:tc>
      </w:tr>
      <w:tr>
        <w:trPr>
          <w:trHeight w:val="230" w:hRule="atLeast"/>
        </w:trPr>
        <w:tc>
          <w:tcPr>
            <w:tcW w:w="3383" w:type="dxa"/>
          </w:tcPr>
          <w:p>
            <w:pPr>
              <w:pStyle w:val="TableParagraph"/>
              <w:rPr>
                <w:rFonts w:ascii="Times New Roman"/>
                <w:sz w:val="16"/>
              </w:rPr>
            </w:pPr>
          </w:p>
        </w:tc>
        <w:tc>
          <w:tcPr>
            <w:tcW w:w="3638" w:type="dxa"/>
          </w:tcPr>
          <w:p>
            <w:pPr>
              <w:pStyle w:val="TableParagraph"/>
              <w:rPr>
                <w:rFonts w:ascii="Times New Roman"/>
                <w:sz w:val="16"/>
              </w:rPr>
            </w:pPr>
          </w:p>
        </w:tc>
        <w:tc>
          <w:tcPr>
            <w:tcW w:w="2096" w:type="dxa"/>
          </w:tcPr>
          <w:p>
            <w:pPr>
              <w:pStyle w:val="TableParagraph"/>
              <w:spacing w:line="210" w:lineRule="exact"/>
              <w:ind w:left="265"/>
              <w:rPr>
                <w:sz w:val="20"/>
              </w:rPr>
            </w:pPr>
            <w:r>
              <w:rPr>
                <w:color w:val="0D0D0D"/>
                <w:sz w:val="20"/>
              </w:rPr>
              <w:t>Nigel James Jolly</w:t>
            </w:r>
          </w:p>
        </w:tc>
      </w:tr>
      <w:tr>
        <w:trPr>
          <w:trHeight w:val="229" w:hRule="atLeast"/>
        </w:trPr>
        <w:tc>
          <w:tcPr>
            <w:tcW w:w="3383" w:type="dxa"/>
          </w:tcPr>
          <w:p>
            <w:pPr>
              <w:pStyle w:val="TableParagraph"/>
              <w:spacing w:line="209" w:lineRule="exact"/>
              <w:ind w:left="200"/>
              <w:rPr>
                <w:sz w:val="20"/>
              </w:rPr>
            </w:pPr>
            <w:r>
              <w:rPr>
                <w:color w:val="0D0D0D"/>
                <w:sz w:val="20"/>
              </w:rPr>
              <w:t>ABN 25 626 486 753</w:t>
            </w:r>
          </w:p>
        </w:tc>
        <w:tc>
          <w:tcPr>
            <w:tcW w:w="3638" w:type="dxa"/>
          </w:tcPr>
          <w:p>
            <w:pPr>
              <w:pStyle w:val="TableParagraph"/>
              <w:spacing w:line="209" w:lineRule="exact"/>
              <w:ind w:left="215"/>
              <w:rPr>
                <w:sz w:val="20"/>
              </w:rPr>
            </w:pPr>
            <w:r>
              <w:rPr>
                <w:color w:val="0D0D0D"/>
                <w:sz w:val="20"/>
              </w:rPr>
              <w:t>92 135 933 121</w:t>
            </w:r>
          </w:p>
        </w:tc>
        <w:tc>
          <w:tcPr>
            <w:tcW w:w="2096" w:type="dxa"/>
          </w:tcPr>
          <w:p>
            <w:pPr>
              <w:pStyle w:val="TableParagraph"/>
              <w:spacing w:line="209" w:lineRule="exact"/>
              <w:ind w:left="265"/>
              <w:rPr>
                <w:sz w:val="20"/>
              </w:rPr>
            </w:pPr>
            <w:r>
              <w:rPr>
                <w:color w:val="0D0D0D"/>
                <w:sz w:val="20"/>
              </w:rPr>
              <w:t>Ming Hua</w:t>
            </w:r>
          </w:p>
        </w:tc>
      </w:tr>
      <w:tr>
        <w:trPr>
          <w:trHeight w:val="229" w:hRule="atLeast"/>
        </w:trPr>
        <w:tc>
          <w:tcPr>
            <w:tcW w:w="3383" w:type="dxa"/>
          </w:tcPr>
          <w:p>
            <w:pPr>
              <w:pStyle w:val="TableParagraph"/>
              <w:rPr>
                <w:rFonts w:ascii="Times New Roman"/>
                <w:sz w:val="16"/>
              </w:rPr>
            </w:pPr>
          </w:p>
        </w:tc>
        <w:tc>
          <w:tcPr>
            <w:tcW w:w="3638" w:type="dxa"/>
          </w:tcPr>
          <w:p>
            <w:pPr>
              <w:pStyle w:val="TableParagraph"/>
              <w:rPr>
                <w:rFonts w:ascii="Times New Roman"/>
                <w:sz w:val="16"/>
              </w:rPr>
            </w:pPr>
          </w:p>
        </w:tc>
        <w:tc>
          <w:tcPr>
            <w:tcW w:w="2096" w:type="dxa"/>
          </w:tcPr>
          <w:p>
            <w:pPr>
              <w:pStyle w:val="TableParagraph"/>
              <w:spacing w:line="209" w:lineRule="exact"/>
              <w:ind w:left="265"/>
              <w:rPr>
                <w:sz w:val="20"/>
              </w:rPr>
            </w:pPr>
            <w:r>
              <w:rPr>
                <w:color w:val="0D0D0D"/>
                <w:sz w:val="20"/>
              </w:rPr>
              <w:t>Sarah Kate Vogler</w:t>
            </w:r>
          </w:p>
        </w:tc>
      </w:tr>
      <w:tr>
        <w:trPr>
          <w:trHeight w:val="230" w:hRule="atLeast"/>
        </w:trPr>
        <w:tc>
          <w:tcPr>
            <w:tcW w:w="3383" w:type="dxa"/>
          </w:tcPr>
          <w:p>
            <w:pPr>
              <w:pStyle w:val="TableParagraph"/>
              <w:spacing w:line="210" w:lineRule="exact"/>
              <w:ind w:left="200"/>
              <w:rPr>
                <w:sz w:val="20"/>
              </w:rPr>
            </w:pPr>
            <w:r>
              <w:rPr>
                <w:color w:val="0D0D0D"/>
                <w:sz w:val="20"/>
              </w:rPr>
              <w:t>45 Kelvin Parade</w:t>
            </w:r>
          </w:p>
        </w:tc>
        <w:tc>
          <w:tcPr>
            <w:tcW w:w="3638" w:type="dxa"/>
          </w:tcPr>
          <w:p>
            <w:pPr>
              <w:pStyle w:val="TableParagraph"/>
              <w:spacing w:line="210" w:lineRule="exact"/>
              <w:ind w:left="215"/>
              <w:rPr>
                <w:sz w:val="20"/>
              </w:rPr>
            </w:pPr>
            <w:r>
              <w:rPr>
                <w:color w:val="0D0D0D"/>
                <w:sz w:val="20"/>
              </w:rPr>
              <w:t>Unit 15</w:t>
            </w:r>
          </w:p>
        </w:tc>
        <w:tc>
          <w:tcPr>
            <w:tcW w:w="2096" w:type="dxa"/>
          </w:tcPr>
          <w:p>
            <w:pPr>
              <w:pStyle w:val="TableParagraph"/>
              <w:rPr>
                <w:rFonts w:ascii="Times New Roman"/>
                <w:sz w:val="16"/>
              </w:rPr>
            </w:pPr>
          </w:p>
        </w:tc>
      </w:tr>
      <w:tr>
        <w:trPr>
          <w:trHeight w:val="230" w:hRule="atLeast"/>
        </w:trPr>
        <w:tc>
          <w:tcPr>
            <w:tcW w:w="3383" w:type="dxa"/>
          </w:tcPr>
          <w:p>
            <w:pPr>
              <w:pStyle w:val="TableParagraph"/>
              <w:spacing w:line="210" w:lineRule="exact"/>
              <w:ind w:left="200"/>
              <w:rPr>
                <w:sz w:val="20"/>
              </w:rPr>
            </w:pPr>
            <w:r>
              <w:rPr>
                <w:color w:val="0D0D0D"/>
                <w:sz w:val="20"/>
              </w:rPr>
              <w:t>Picnic Point NSW 2213</w:t>
            </w:r>
          </w:p>
        </w:tc>
        <w:tc>
          <w:tcPr>
            <w:tcW w:w="3638" w:type="dxa"/>
          </w:tcPr>
          <w:p>
            <w:pPr>
              <w:pStyle w:val="TableParagraph"/>
              <w:spacing w:line="210" w:lineRule="exact"/>
              <w:ind w:left="215"/>
              <w:rPr>
                <w:sz w:val="20"/>
              </w:rPr>
            </w:pPr>
            <w:r>
              <w:rPr>
                <w:color w:val="0D0D0D"/>
                <w:sz w:val="20"/>
              </w:rPr>
              <w:t>51-53 Kewdale Road</w:t>
            </w:r>
          </w:p>
        </w:tc>
        <w:tc>
          <w:tcPr>
            <w:tcW w:w="2096" w:type="dxa"/>
          </w:tcPr>
          <w:p>
            <w:pPr>
              <w:pStyle w:val="TableParagraph"/>
              <w:rPr>
                <w:rFonts w:ascii="Times New Roman"/>
                <w:sz w:val="16"/>
              </w:rPr>
            </w:pPr>
          </w:p>
        </w:tc>
      </w:tr>
      <w:tr>
        <w:trPr>
          <w:trHeight w:val="344" w:hRule="atLeast"/>
        </w:trPr>
        <w:tc>
          <w:tcPr>
            <w:tcW w:w="3383" w:type="dxa"/>
          </w:tcPr>
          <w:p>
            <w:pPr>
              <w:pStyle w:val="TableParagraph"/>
              <w:rPr>
                <w:rFonts w:ascii="Times New Roman"/>
                <w:sz w:val="20"/>
              </w:rPr>
            </w:pPr>
          </w:p>
        </w:tc>
        <w:tc>
          <w:tcPr>
            <w:tcW w:w="3638" w:type="dxa"/>
          </w:tcPr>
          <w:p>
            <w:pPr>
              <w:pStyle w:val="TableParagraph"/>
              <w:spacing w:line="227" w:lineRule="exact"/>
              <w:ind w:left="215"/>
              <w:rPr>
                <w:sz w:val="20"/>
              </w:rPr>
            </w:pPr>
            <w:r>
              <w:rPr>
                <w:color w:val="0D0D0D"/>
                <w:sz w:val="20"/>
              </w:rPr>
              <w:t>Welshpool WA 6106</w:t>
            </w:r>
          </w:p>
        </w:tc>
        <w:tc>
          <w:tcPr>
            <w:tcW w:w="2096" w:type="dxa"/>
          </w:tcPr>
          <w:p>
            <w:pPr>
              <w:pStyle w:val="TableParagraph"/>
              <w:rPr>
                <w:rFonts w:ascii="Times New Roman"/>
                <w:sz w:val="20"/>
              </w:rPr>
            </w:pPr>
          </w:p>
        </w:tc>
      </w:tr>
      <w:tr>
        <w:trPr>
          <w:trHeight w:val="344" w:hRule="atLeast"/>
        </w:trPr>
        <w:tc>
          <w:tcPr>
            <w:tcW w:w="3383" w:type="dxa"/>
          </w:tcPr>
          <w:p>
            <w:pPr>
              <w:pStyle w:val="TableParagraph"/>
              <w:spacing w:line="214" w:lineRule="exact" w:before="110"/>
              <w:ind w:left="200"/>
              <w:rPr>
                <w:b/>
                <w:sz w:val="20"/>
              </w:rPr>
            </w:pPr>
            <w:r>
              <w:rPr>
                <w:b/>
                <w:color w:val="0D0D0D"/>
                <w:sz w:val="20"/>
                <w:u w:val="thick" w:color="0D0D0D"/>
              </w:rPr>
              <w:t>Person in Authority</w:t>
            </w:r>
          </w:p>
        </w:tc>
        <w:tc>
          <w:tcPr>
            <w:tcW w:w="3638" w:type="dxa"/>
          </w:tcPr>
          <w:p>
            <w:pPr>
              <w:pStyle w:val="TableParagraph"/>
              <w:spacing w:line="214" w:lineRule="exact" w:before="110"/>
              <w:ind w:left="215"/>
              <w:rPr>
                <w:b/>
                <w:sz w:val="20"/>
              </w:rPr>
            </w:pPr>
            <w:r>
              <w:rPr>
                <w:b/>
                <w:color w:val="0D0D0D"/>
                <w:sz w:val="20"/>
                <w:u w:val="thick" w:color="0D0D0D"/>
              </w:rPr>
              <w:t>Person in Authority</w:t>
            </w:r>
          </w:p>
        </w:tc>
        <w:tc>
          <w:tcPr>
            <w:tcW w:w="2096" w:type="dxa"/>
          </w:tcPr>
          <w:p>
            <w:pPr>
              <w:pStyle w:val="TableParagraph"/>
              <w:rPr>
                <w:rFonts w:ascii="Times New Roman"/>
                <w:sz w:val="20"/>
              </w:rPr>
            </w:pPr>
          </w:p>
        </w:tc>
      </w:tr>
      <w:tr>
        <w:trPr>
          <w:trHeight w:val="229" w:hRule="atLeast"/>
        </w:trPr>
        <w:tc>
          <w:tcPr>
            <w:tcW w:w="3383" w:type="dxa"/>
          </w:tcPr>
          <w:p>
            <w:pPr>
              <w:pStyle w:val="TableParagraph"/>
              <w:spacing w:line="210" w:lineRule="exact"/>
              <w:ind w:left="200"/>
              <w:rPr>
                <w:sz w:val="20"/>
              </w:rPr>
            </w:pPr>
            <w:r>
              <w:rPr>
                <w:color w:val="0D0D0D"/>
                <w:sz w:val="20"/>
              </w:rPr>
              <w:t>Julia Alexandra Marsh</w:t>
            </w:r>
          </w:p>
        </w:tc>
        <w:tc>
          <w:tcPr>
            <w:tcW w:w="3638" w:type="dxa"/>
          </w:tcPr>
          <w:p>
            <w:pPr>
              <w:pStyle w:val="TableParagraph"/>
              <w:spacing w:line="210" w:lineRule="exact"/>
              <w:ind w:left="215"/>
              <w:rPr>
                <w:sz w:val="20"/>
              </w:rPr>
            </w:pPr>
            <w:r>
              <w:rPr>
                <w:color w:val="0D0D0D"/>
                <w:sz w:val="20"/>
              </w:rPr>
              <w:t>Peter John O’Brien</w:t>
            </w:r>
          </w:p>
        </w:tc>
        <w:tc>
          <w:tcPr>
            <w:tcW w:w="2096" w:type="dxa"/>
          </w:tcPr>
          <w:p>
            <w:pPr>
              <w:pStyle w:val="TableParagraph"/>
              <w:rPr>
                <w:rFonts w:ascii="Times New Roman"/>
                <w:sz w:val="16"/>
              </w:rPr>
            </w:pPr>
          </w:p>
        </w:tc>
      </w:tr>
      <w:tr>
        <w:trPr>
          <w:trHeight w:val="230" w:hRule="atLeast"/>
        </w:trPr>
        <w:tc>
          <w:tcPr>
            <w:tcW w:w="3383" w:type="dxa"/>
          </w:tcPr>
          <w:p>
            <w:pPr>
              <w:pStyle w:val="TableParagraph"/>
              <w:rPr>
                <w:rFonts w:ascii="Times New Roman"/>
                <w:sz w:val="16"/>
              </w:rPr>
            </w:pPr>
          </w:p>
        </w:tc>
        <w:tc>
          <w:tcPr>
            <w:tcW w:w="3638" w:type="dxa"/>
          </w:tcPr>
          <w:p>
            <w:pPr>
              <w:pStyle w:val="TableParagraph"/>
              <w:spacing w:line="210" w:lineRule="exact"/>
              <w:ind w:left="215"/>
              <w:rPr>
                <w:sz w:val="20"/>
              </w:rPr>
            </w:pPr>
            <w:r>
              <w:rPr>
                <w:color w:val="0D0D0D"/>
                <w:sz w:val="20"/>
              </w:rPr>
              <w:t>Eduardo Wambier Fagundes</w:t>
            </w:r>
          </w:p>
        </w:tc>
        <w:tc>
          <w:tcPr>
            <w:tcW w:w="2096" w:type="dxa"/>
          </w:tcPr>
          <w:p>
            <w:pPr>
              <w:pStyle w:val="TableParagraph"/>
              <w:rPr>
                <w:rFonts w:ascii="Times New Roman"/>
                <w:sz w:val="16"/>
              </w:rPr>
            </w:pPr>
          </w:p>
        </w:tc>
      </w:tr>
      <w:tr>
        <w:trPr>
          <w:trHeight w:val="344" w:hRule="atLeast"/>
        </w:trPr>
        <w:tc>
          <w:tcPr>
            <w:tcW w:w="3383" w:type="dxa"/>
          </w:tcPr>
          <w:p>
            <w:pPr>
              <w:pStyle w:val="TableParagraph"/>
              <w:rPr>
                <w:rFonts w:ascii="Times New Roman"/>
                <w:sz w:val="20"/>
              </w:rPr>
            </w:pPr>
          </w:p>
        </w:tc>
        <w:tc>
          <w:tcPr>
            <w:tcW w:w="3638" w:type="dxa"/>
          </w:tcPr>
          <w:p>
            <w:pPr>
              <w:pStyle w:val="TableParagraph"/>
              <w:spacing w:line="227" w:lineRule="exact"/>
              <w:ind w:left="215"/>
              <w:rPr>
                <w:sz w:val="20"/>
              </w:rPr>
            </w:pPr>
            <w:r>
              <w:rPr>
                <w:color w:val="0D0D0D"/>
                <w:sz w:val="20"/>
              </w:rPr>
              <w:t>Nicole Cherie Couper</w:t>
            </w:r>
          </w:p>
        </w:tc>
        <w:tc>
          <w:tcPr>
            <w:tcW w:w="2096" w:type="dxa"/>
          </w:tcPr>
          <w:p>
            <w:pPr>
              <w:pStyle w:val="TableParagraph"/>
              <w:rPr>
                <w:rFonts w:ascii="Times New Roman"/>
                <w:sz w:val="20"/>
              </w:rPr>
            </w:pPr>
          </w:p>
        </w:tc>
      </w:tr>
      <w:tr>
        <w:trPr>
          <w:trHeight w:val="346" w:hRule="atLeast"/>
        </w:trPr>
        <w:tc>
          <w:tcPr>
            <w:tcW w:w="3383" w:type="dxa"/>
          </w:tcPr>
          <w:p>
            <w:pPr>
              <w:pStyle w:val="TableParagraph"/>
              <w:spacing w:line="215" w:lineRule="exact" w:before="111"/>
              <w:ind w:left="200"/>
              <w:rPr>
                <w:b/>
                <w:sz w:val="20"/>
              </w:rPr>
            </w:pPr>
            <w:r>
              <w:rPr>
                <w:b/>
                <w:color w:val="0D0D0D"/>
                <w:sz w:val="20"/>
                <w:u w:val="thick" w:color="0D0D0D"/>
              </w:rPr>
              <w:t>Nominee Broker</w:t>
            </w:r>
          </w:p>
        </w:tc>
        <w:tc>
          <w:tcPr>
            <w:tcW w:w="3638" w:type="dxa"/>
          </w:tcPr>
          <w:p>
            <w:pPr>
              <w:pStyle w:val="TableParagraph"/>
              <w:spacing w:line="215" w:lineRule="exact" w:before="111"/>
              <w:ind w:left="215"/>
              <w:rPr>
                <w:b/>
                <w:sz w:val="20"/>
              </w:rPr>
            </w:pPr>
            <w:r>
              <w:rPr>
                <w:b/>
                <w:color w:val="0D0D0D"/>
                <w:sz w:val="20"/>
                <w:u w:val="thick" w:color="0D0D0D"/>
              </w:rPr>
              <w:t>Nominee Broker</w:t>
            </w:r>
          </w:p>
        </w:tc>
        <w:tc>
          <w:tcPr>
            <w:tcW w:w="2096" w:type="dxa"/>
          </w:tcPr>
          <w:p>
            <w:pPr>
              <w:pStyle w:val="TableParagraph"/>
              <w:rPr>
                <w:rFonts w:ascii="Times New Roman"/>
                <w:sz w:val="20"/>
              </w:rPr>
            </w:pPr>
          </w:p>
        </w:tc>
      </w:tr>
      <w:tr>
        <w:trPr>
          <w:trHeight w:val="227" w:hRule="atLeast"/>
        </w:trPr>
        <w:tc>
          <w:tcPr>
            <w:tcW w:w="3383" w:type="dxa"/>
          </w:tcPr>
          <w:p>
            <w:pPr>
              <w:pStyle w:val="TableParagraph"/>
              <w:spacing w:line="207" w:lineRule="exact"/>
              <w:ind w:left="200"/>
              <w:rPr>
                <w:sz w:val="20"/>
              </w:rPr>
            </w:pPr>
            <w:r>
              <w:rPr>
                <w:color w:val="0D0D0D"/>
                <w:sz w:val="20"/>
              </w:rPr>
              <w:t>Adam William Marsh</w:t>
            </w:r>
          </w:p>
        </w:tc>
        <w:tc>
          <w:tcPr>
            <w:tcW w:w="3638" w:type="dxa"/>
          </w:tcPr>
          <w:p>
            <w:pPr>
              <w:pStyle w:val="TableParagraph"/>
              <w:spacing w:line="207" w:lineRule="exact"/>
              <w:ind w:left="215"/>
              <w:rPr>
                <w:sz w:val="20"/>
              </w:rPr>
            </w:pPr>
            <w:r>
              <w:rPr>
                <w:color w:val="0D0D0D"/>
                <w:sz w:val="20"/>
              </w:rPr>
              <w:t>Nicole Cherie Couper</w:t>
            </w:r>
          </w:p>
        </w:tc>
        <w:tc>
          <w:tcPr>
            <w:tcW w:w="2096" w:type="dxa"/>
          </w:tcPr>
          <w:p>
            <w:pPr>
              <w:pStyle w:val="TableParagraph"/>
              <w:rPr>
                <w:rFonts w:ascii="Times New Roman"/>
                <w:sz w:val="16"/>
              </w:rPr>
            </w:pPr>
          </w:p>
        </w:tc>
      </w:tr>
    </w:tbl>
    <w:p>
      <w:pPr>
        <w:pStyle w:val="BodyText"/>
        <w:rPr>
          <w:sz w:val="22"/>
        </w:rPr>
      </w:pPr>
    </w:p>
    <w:p>
      <w:pPr>
        <w:pStyle w:val="BodyText"/>
        <w:rPr>
          <w:sz w:val="22"/>
        </w:rPr>
      </w:pPr>
    </w:p>
    <w:p>
      <w:pPr>
        <w:pStyle w:val="BodyText"/>
        <w:spacing w:before="9"/>
        <w:rPr>
          <w:sz w:val="17"/>
        </w:rPr>
      </w:pPr>
    </w:p>
    <w:p>
      <w:pPr>
        <w:pStyle w:val="BodyText"/>
        <w:ind w:left="193" w:right="101"/>
      </w:pPr>
      <w:r>
        <w:rPr/>
        <w:t>Any person wishing to make written representation in respect of any of these applications should address the correspondence </w:t>
      </w:r>
      <w:r>
        <w:rPr>
          <w:color w:val="0D0D0D"/>
        </w:rPr>
        <w:t>by 14 September 2018 to</w:t>
      </w:r>
      <w:r>
        <w:rPr/>
        <w:t>:</w:t>
      </w:r>
    </w:p>
    <w:p>
      <w:pPr>
        <w:pStyle w:val="BodyText"/>
        <w:spacing w:before="9"/>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3"/>
        <w:gridCol w:w="4757"/>
      </w:tblGrid>
      <w:tr>
        <w:trPr>
          <w:trHeight w:val="911" w:hRule="atLeast"/>
        </w:trPr>
        <w:tc>
          <w:tcPr>
            <w:tcW w:w="3833" w:type="dxa"/>
          </w:tcPr>
          <w:p>
            <w:pPr>
              <w:pStyle w:val="TableParagraph"/>
              <w:ind w:left="200" w:right="1134"/>
              <w:rPr>
                <w:sz w:val="20"/>
              </w:rPr>
            </w:pPr>
            <w:r>
              <w:rPr>
                <w:sz w:val="20"/>
              </w:rPr>
              <w:t>Broker Licensing </w:t>
            </w:r>
            <w:r>
              <w:rPr>
                <w:color w:val="0D0D0D"/>
                <w:sz w:val="20"/>
              </w:rPr>
              <w:t>Department of Home Affairs </w:t>
            </w:r>
            <w:r>
              <w:rPr>
                <w:sz w:val="20"/>
              </w:rPr>
              <w:t>5 Constitution Avenue</w:t>
            </w:r>
          </w:p>
          <w:p>
            <w:pPr>
              <w:pStyle w:val="TableParagraph"/>
              <w:spacing w:line="209" w:lineRule="exact"/>
              <w:ind w:left="200"/>
              <w:rPr>
                <w:sz w:val="20"/>
              </w:rPr>
            </w:pPr>
            <w:r>
              <w:rPr>
                <w:sz w:val="20"/>
              </w:rPr>
              <w:t>CANBERRA ACT 2601</w:t>
            </w:r>
          </w:p>
        </w:tc>
        <w:tc>
          <w:tcPr>
            <w:tcW w:w="4757" w:type="dxa"/>
          </w:tcPr>
          <w:p>
            <w:pPr>
              <w:pStyle w:val="TableParagraph"/>
              <w:spacing w:before="115"/>
              <w:ind w:left="1155"/>
              <w:rPr>
                <w:sz w:val="20"/>
              </w:rPr>
            </w:pPr>
            <w:r>
              <w:rPr>
                <w:sz w:val="20"/>
              </w:rPr>
              <w:t>Or email: </w:t>
            </w:r>
            <w:hyperlink r:id="rId6">
              <w:r>
                <w:rPr>
                  <w:w w:val="95"/>
                  <w:sz w:val="20"/>
                  <w:u w:val="single"/>
                </w:rPr>
                <w:t>brokers.licensing@homeaffairs.gov.au</w:t>
              </w:r>
            </w:hyperlink>
          </w:p>
        </w:tc>
      </w:tr>
    </w:tbl>
    <w:p>
      <w:pPr>
        <w:pStyle w:val="BodyText"/>
        <w:spacing w:before="3"/>
        <w:rPr>
          <w:sz w:val="21"/>
        </w:rPr>
      </w:pPr>
    </w:p>
    <w:p>
      <w:pPr>
        <w:pStyle w:val="BodyText"/>
        <w:spacing w:before="1"/>
        <w:ind w:left="193" w:right="245"/>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5"/>
        <w:rPr>
          <w:sz w:val="30"/>
        </w:rPr>
      </w:pPr>
    </w:p>
    <w:p>
      <w:pPr>
        <w:pStyle w:val="BodyText"/>
        <w:ind w:left="193"/>
      </w:pPr>
      <w:r>
        <w:rPr/>
        <w:t>[signed]</w:t>
      </w:r>
    </w:p>
    <w:p>
      <w:pPr>
        <w:pStyle w:val="BodyText"/>
        <w:spacing w:before="1"/>
      </w:pPr>
    </w:p>
    <w:p>
      <w:pPr>
        <w:pStyle w:val="BodyText"/>
        <w:ind w:left="193" w:right="8093"/>
      </w:pPr>
      <w:r>
        <w:rPr>
          <w:color w:val="0D0D0D"/>
        </w:rPr>
        <w:t>Auneesh Kishore A/g Director</w:t>
      </w:r>
    </w:p>
    <w:p>
      <w:pPr>
        <w:pStyle w:val="BodyText"/>
        <w:spacing w:before="1"/>
        <w:ind w:left="193"/>
      </w:pPr>
      <w:r>
        <w:rPr>
          <w:color w:val="0D0D0D"/>
        </w:rPr>
        <w:t>Customs Licensing Section</w:t>
      </w:r>
    </w:p>
    <w:p>
      <w:pPr>
        <w:pStyle w:val="BodyText"/>
        <w:spacing w:line="237" w:lineRule="auto" w:before="2"/>
        <w:ind w:left="193" w:right="5815"/>
      </w:pPr>
      <w:r>
        <w:rPr>
          <w:color w:val="0D0D0D"/>
        </w:rPr>
        <w:t>Trusted Trader and Trade Services Branch CANBERRA ACT</w:t>
      </w:r>
    </w:p>
    <w:p>
      <w:pPr>
        <w:pStyle w:val="BodyText"/>
        <w:spacing w:before="1"/>
      </w:pPr>
    </w:p>
    <w:p>
      <w:pPr>
        <w:pStyle w:val="BodyText"/>
        <w:ind w:left="193"/>
      </w:pPr>
      <w:r>
        <w:rPr>
          <w:color w:val="0D0D0D"/>
        </w:rPr>
        <w:t>23 August 2018</w:t>
      </w:r>
    </w:p>
    <w:sectPr>
      <w:type w:val="continuous"/>
      <w:pgSz w:w="11910" w:h="16840"/>
      <w:pgMar w:top="0" w:bottom="280" w:left="94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US" w:bidi="ar-SA"/>
    </w:rPr>
  </w:style>
  <w:style w:styleId="BodyText" w:type="paragraph">
    <w:name w:val="Body Text"/>
    <w:basedOn w:val="Normal"/>
    <w:uiPriority w:val="1"/>
    <w:qFormat/>
    <w:pPr/>
    <w:rPr>
      <w:rFonts w:ascii="Arial" w:hAnsi="Arial" w:eastAsia="Arial" w:cs="Arial"/>
      <w:sz w:val="20"/>
      <w:szCs w:val="20"/>
      <w:lang w:val="en-gb" w:eastAsia="en-US" w:bidi="ar-SA"/>
    </w:rPr>
  </w:style>
  <w:style w:styleId="Title" w:type="paragraph">
    <w:name w:val="Title"/>
    <w:basedOn w:val="Normal"/>
    <w:uiPriority w:val="1"/>
    <w:qFormat/>
    <w:pPr>
      <w:spacing w:before="83"/>
      <w:ind w:left="2465" w:right="574" w:hanging="1809"/>
    </w:pPr>
    <w:rPr>
      <w:rFonts w:ascii="Arial" w:hAnsi="Arial" w:eastAsia="Arial" w:cs="Arial"/>
      <w:b/>
      <w:bCs/>
      <w:sz w:val="52"/>
      <w:szCs w:val="52"/>
      <w:lang w:val="en-gb" w:eastAsia="en-US" w:bidi="ar-SA"/>
    </w:rPr>
  </w:style>
  <w:style w:styleId="ListParagraph" w:type="paragraph">
    <w:name w:val="List Paragraph"/>
    <w:basedOn w:val="Normal"/>
    <w:uiPriority w:val="1"/>
    <w:qFormat/>
    <w:pPr/>
    <w:rPr>
      <w:lang w:val="en-gb" w:eastAsia="en-US" w:bidi="ar-SA"/>
    </w:rPr>
  </w:style>
  <w:style w:styleId="TableParagraph" w:type="paragraph">
    <w:name w:val="Table Paragraph"/>
    <w:basedOn w:val="Normal"/>
    <w:uiPriority w:val="1"/>
    <w:qFormat/>
    <w:pPr/>
    <w:rPr>
      <w:rFonts w:ascii="Arial" w:hAnsi="Arial" w:eastAsia="Arial" w:cs="Arial"/>
      <w:lang w:val="en-gb"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dc:subject>HA Notice 2018/29</dc:subject>
  <dc:title>Applications for Customs Broker Licence</dc:title>
  <dcterms:created xsi:type="dcterms:W3CDTF">2020-12-09T23:18:02Z</dcterms:created>
  <dcterms:modified xsi:type="dcterms:W3CDTF">2020-12-09T23:18:02Z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2018-08-27T00:00:00Z</vt:filetime>
  </property>
  <property fmtid="{D5CDD505-2E9C-101B-9397-08002B2CF9AE}" pid="3" name="Creator">
    <vt:lpwstr>Microsoft® Word 2016</vt:lpwstr>
  </property>
  <property fmtid="{D5CDD505-2E9C-101B-9397-08002B2CF9AE}" pid="4" name="LastSaved">
    <vt:filetime>2020-12-09T00:00:00Z</vt:filetime>
  </property>
</Properties>
</file>