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488000">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2018/34</w:t>
      </w:r>
    </w:p>
    <w:p>
      <w:pPr>
        <w:spacing w:before="557"/>
        <w:ind w:left="730" w:right="2725" w:firstLine="0"/>
        <w:jc w:val="center"/>
        <w:rPr>
          <w:b/>
          <w:sz w:val="40"/>
        </w:rPr>
      </w:pPr>
      <w:bookmarkStart w:name="Application for Customs Broker Licences" w:id="1"/>
      <w:bookmarkEnd w:id="1"/>
      <w:r>
        <w:rPr/>
      </w:r>
      <w:r>
        <w:rPr>
          <w:b/>
          <w:sz w:val="40"/>
        </w:rPr>
        <w:t>Application for Customs Broker Licences</w:t>
      </w:r>
    </w:p>
    <w:p>
      <w:pPr>
        <w:pStyle w:val="BodyText"/>
        <w:spacing w:line="264" w:lineRule="auto" w:before="367"/>
        <w:ind w:left="150" w:right="3611"/>
      </w:pPr>
      <w:bookmarkStart w:name="The following individuals and companies " w:id="2"/>
      <w:bookmarkEnd w:id="2"/>
      <w:r>
        <w:rPr/>
      </w:r>
      <w:r>
        <w:rPr/>
        <w:t>The following individuals and companies have applied to the Comptroller-General of Customs for a customs broker licence:</w:t>
      </w:r>
    </w:p>
    <w:p>
      <w:pPr>
        <w:pStyle w:val="BodyText"/>
        <w:rPr>
          <w:sz w:val="20"/>
        </w:rPr>
      </w:pPr>
    </w:p>
    <w:p>
      <w:pPr>
        <w:pStyle w:val="BodyText"/>
        <w:rPr>
          <w:sz w:val="20"/>
        </w:rPr>
      </w:pPr>
    </w:p>
    <w:p>
      <w:pPr>
        <w:pStyle w:val="BodyText"/>
        <w:spacing w:before="9"/>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2851"/>
        <w:gridCol w:w="2353"/>
        <w:gridCol w:w="2227"/>
        <w:gridCol w:w="2202"/>
        <w:gridCol w:w="2601"/>
      </w:tblGrid>
      <w:tr>
        <w:trPr>
          <w:trHeight w:val="251" w:hRule="atLeast"/>
        </w:trPr>
        <w:tc>
          <w:tcPr>
            <w:tcW w:w="1792" w:type="dxa"/>
          </w:tcPr>
          <w:p>
            <w:pPr>
              <w:pStyle w:val="TableParagraph"/>
              <w:spacing w:line="232" w:lineRule="exact"/>
              <w:ind w:left="50"/>
              <w:rPr>
                <w:b/>
                <w:sz w:val="22"/>
              </w:rPr>
            </w:pPr>
            <w:r>
              <w:rPr>
                <w:b/>
                <w:sz w:val="22"/>
              </w:rPr>
              <w:t>INDIVIDUALS:</w:t>
            </w:r>
          </w:p>
        </w:tc>
        <w:tc>
          <w:tcPr>
            <w:tcW w:w="2851" w:type="dxa"/>
          </w:tcPr>
          <w:p>
            <w:pPr>
              <w:pStyle w:val="TableParagraph"/>
              <w:spacing w:line="232" w:lineRule="exact"/>
              <w:rPr>
                <w:b/>
                <w:sz w:val="22"/>
              </w:rPr>
            </w:pPr>
            <w:r>
              <w:rPr>
                <w:b/>
                <w:sz w:val="22"/>
                <w:u w:val="thick"/>
              </w:rPr>
              <w:t>COMPANY</w:t>
            </w:r>
          </w:p>
        </w:tc>
        <w:tc>
          <w:tcPr>
            <w:tcW w:w="2353" w:type="dxa"/>
          </w:tcPr>
          <w:p>
            <w:pPr>
              <w:pStyle w:val="TableParagraph"/>
              <w:spacing w:line="232" w:lineRule="exact"/>
              <w:ind w:left="293"/>
              <w:rPr>
                <w:b/>
                <w:sz w:val="22"/>
              </w:rPr>
            </w:pPr>
            <w:r>
              <w:rPr>
                <w:b/>
                <w:sz w:val="22"/>
                <w:u w:val="thick"/>
              </w:rPr>
              <w:t>COMPANY</w:t>
            </w:r>
          </w:p>
        </w:tc>
        <w:tc>
          <w:tcPr>
            <w:tcW w:w="2227" w:type="dxa"/>
          </w:tcPr>
          <w:p>
            <w:pPr>
              <w:pStyle w:val="TableParagraph"/>
              <w:spacing w:line="232" w:lineRule="exact"/>
              <w:ind w:left="100"/>
              <w:rPr>
                <w:b/>
                <w:sz w:val="22"/>
              </w:rPr>
            </w:pPr>
            <w:r>
              <w:rPr>
                <w:b/>
                <w:sz w:val="22"/>
                <w:u w:val="thick"/>
              </w:rPr>
              <w:t>COMPANY</w:t>
            </w:r>
          </w:p>
        </w:tc>
        <w:tc>
          <w:tcPr>
            <w:tcW w:w="2202" w:type="dxa"/>
          </w:tcPr>
          <w:p>
            <w:pPr>
              <w:pStyle w:val="TableParagraph"/>
              <w:spacing w:line="232" w:lineRule="exact"/>
              <w:ind w:left="158"/>
              <w:rPr>
                <w:b/>
                <w:sz w:val="22"/>
              </w:rPr>
            </w:pPr>
            <w:r>
              <w:rPr>
                <w:b/>
                <w:sz w:val="22"/>
                <w:u w:val="thick"/>
              </w:rPr>
              <w:t>COMPANY</w:t>
            </w:r>
          </w:p>
        </w:tc>
        <w:tc>
          <w:tcPr>
            <w:tcW w:w="2601" w:type="dxa"/>
          </w:tcPr>
          <w:p>
            <w:pPr>
              <w:pStyle w:val="TableParagraph"/>
              <w:spacing w:line="232" w:lineRule="exact"/>
              <w:ind w:left="68"/>
              <w:rPr>
                <w:b/>
                <w:sz w:val="22"/>
              </w:rPr>
            </w:pPr>
            <w:r>
              <w:rPr>
                <w:b/>
                <w:sz w:val="22"/>
                <w:u w:val="thick"/>
              </w:rPr>
              <w:t>COMPANY</w:t>
            </w:r>
          </w:p>
        </w:tc>
      </w:tr>
      <w:tr>
        <w:trPr>
          <w:trHeight w:val="381" w:hRule="atLeast"/>
        </w:trPr>
        <w:tc>
          <w:tcPr>
            <w:tcW w:w="1792" w:type="dxa"/>
          </w:tcPr>
          <w:p>
            <w:pPr>
              <w:pStyle w:val="TableParagraph"/>
              <w:spacing w:line="252" w:lineRule="exact"/>
              <w:ind w:left="50"/>
              <w:rPr>
                <w:sz w:val="22"/>
              </w:rPr>
            </w:pPr>
            <w:r>
              <w:rPr>
                <w:sz w:val="22"/>
              </w:rPr>
              <w:t>Yang Liu</w:t>
            </w:r>
          </w:p>
        </w:tc>
        <w:tc>
          <w:tcPr>
            <w:tcW w:w="2851" w:type="dxa"/>
          </w:tcPr>
          <w:p>
            <w:pPr>
              <w:pStyle w:val="TableParagraph"/>
              <w:spacing w:line="252" w:lineRule="exact"/>
              <w:rPr>
                <w:sz w:val="22"/>
              </w:rPr>
            </w:pPr>
            <w:r>
              <w:rPr>
                <w:sz w:val="22"/>
              </w:rPr>
              <w:t>Master Logistics Pty Ltd</w:t>
            </w:r>
          </w:p>
        </w:tc>
        <w:tc>
          <w:tcPr>
            <w:tcW w:w="2353" w:type="dxa"/>
          </w:tcPr>
          <w:p>
            <w:pPr>
              <w:pStyle w:val="TableParagraph"/>
              <w:spacing w:line="252" w:lineRule="exact"/>
              <w:ind w:left="293"/>
              <w:rPr>
                <w:sz w:val="22"/>
              </w:rPr>
            </w:pPr>
            <w:r>
              <w:rPr>
                <w:sz w:val="22"/>
              </w:rPr>
              <w:t>AusGlobe Logistics</w:t>
            </w:r>
          </w:p>
        </w:tc>
        <w:tc>
          <w:tcPr>
            <w:tcW w:w="2227" w:type="dxa"/>
          </w:tcPr>
          <w:p>
            <w:pPr>
              <w:pStyle w:val="TableParagraph"/>
              <w:spacing w:line="252" w:lineRule="exact"/>
              <w:ind w:left="100"/>
              <w:rPr>
                <w:sz w:val="22"/>
              </w:rPr>
            </w:pPr>
            <w:r>
              <w:rPr>
                <w:sz w:val="22"/>
              </w:rPr>
              <w:t>A2B World Logistics</w:t>
            </w:r>
          </w:p>
        </w:tc>
        <w:tc>
          <w:tcPr>
            <w:tcW w:w="2202" w:type="dxa"/>
          </w:tcPr>
          <w:p>
            <w:pPr>
              <w:pStyle w:val="TableParagraph"/>
              <w:spacing w:line="252" w:lineRule="exact"/>
              <w:ind w:left="158"/>
              <w:rPr>
                <w:sz w:val="22"/>
              </w:rPr>
            </w:pPr>
            <w:r>
              <w:rPr>
                <w:sz w:val="22"/>
              </w:rPr>
              <w:t>API Logistics</w:t>
            </w:r>
          </w:p>
        </w:tc>
        <w:tc>
          <w:tcPr>
            <w:tcW w:w="2601" w:type="dxa"/>
          </w:tcPr>
          <w:p>
            <w:pPr>
              <w:pStyle w:val="TableParagraph"/>
              <w:spacing w:line="252" w:lineRule="exact"/>
              <w:ind w:left="66"/>
              <w:rPr>
                <w:sz w:val="22"/>
              </w:rPr>
            </w:pPr>
            <w:r>
              <w:rPr>
                <w:sz w:val="22"/>
              </w:rPr>
              <w:t>Outside the Box Logistics</w:t>
            </w:r>
          </w:p>
        </w:tc>
      </w:tr>
      <w:tr>
        <w:trPr>
          <w:trHeight w:val="505" w:hRule="atLeast"/>
        </w:trPr>
        <w:tc>
          <w:tcPr>
            <w:tcW w:w="1792" w:type="dxa"/>
          </w:tcPr>
          <w:p>
            <w:pPr>
              <w:pStyle w:val="TableParagraph"/>
              <w:ind w:left="0"/>
              <w:rPr>
                <w:rFonts w:ascii="Times New Roman"/>
                <w:sz w:val="24"/>
              </w:rPr>
            </w:pPr>
          </w:p>
        </w:tc>
        <w:tc>
          <w:tcPr>
            <w:tcW w:w="2851" w:type="dxa"/>
          </w:tcPr>
          <w:p>
            <w:pPr>
              <w:pStyle w:val="TableParagraph"/>
              <w:spacing w:before="123"/>
              <w:rPr>
                <w:sz w:val="22"/>
              </w:rPr>
            </w:pPr>
            <w:r>
              <w:rPr>
                <w:sz w:val="22"/>
              </w:rPr>
              <w:t>ABN 74 609 780 707</w:t>
            </w:r>
          </w:p>
        </w:tc>
        <w:tc>
          <w:tcPr>
            <w:tcW w:w="2353" w:type="dxa"/>
          </w:tcPr>
          <w:p>
            <w:pPr>
              <w:pStyle w:val="TableParagraph"/>
              <w:spacing w:before="123"/>
              <w:ind w:left="248"/>
              <w:rPr>
                <w:sz w:val="22"/>
              </w:rPr>
            </w:pPr>
            <w:r>
              <w:rPr>
                <w:sz w:val="22"/>
              </w:rPr>
              <w:t>16 155 461 528</w:t>
            </w:r>
          </w:p>
        </w:tc>
        <w:tc>
          <w:tcPr>
            <w:tcW w:w="2227" w:type="dxa"/>
          </w:tcPr>
          <w:p>
            <w:pPr>
              <w:pStyle w:val="TableParagraph"/>
              <w:spacing w:before="123"/>
              <w:ind w:left="100"/>
              <w:rPr>
                <w:sz w:val="22"/>
              </w:rPr>
            </w:pPr>
            <w:r>
              <w:rPr>
                <w:sz w:val="22"/>
              </w:rPr>
              <w:t>60 158 341 346</w:t>
            </w:r>
          </w:p>
        </w:tc>
        <w:tc>
          <w:tcPr>
            <w:tcW w:w="2202" w:type="dxa"/>
          </w:tcPr>
          <w:p>
            <w:pPr>
              <w:pStyle w:val="TableParagraph"/>
              <w:spacing w:before="123"/>
              <w:ind w:left="158"/>
              <w:rPr>
                <w:sz w:val="22"/>
              </w:rPr>
            </w:pPr>
            <w:r>
              <w:rPr>
                <w:sz w:val="22"/>
              </w:rPr>
              <w:t>67 629 450 273</w:t>
            </w:r>
          </w:p>
        </w:tc>
        <w:tc>
          <w:tcPr>
            <w:tcW w:w="2601" w:type="dxa"/>
          </w:tcPr>
          <w:p>
            <w:pPr>
              <w:pStyle w:val="TableParagraph"/>
              <w:spacing w:before="123"/>
              <w:ind w:left="97"/>
              <w:rPr>
                <w:sz w:val="22"/>
              </w:rPr>
            </w:pPr>
            <w:r>
              <w:rPr>
                <w:sz w:val="22"/>
              </w:rPr>
              <w:t>46 738 069 396</w:t>
            </w:r>
          </w:p>
        </w:tc>
      </w:tr>
      <w:tr>
        <w:trPr>
          <w:trHeight w:val="759" w:hRule="atLeast"/>
        </w:trPr>
        <w:tc>
          <w:tcPr>
            <w:tcW w:w="1792" w:type="dxa"/>
          </w:tcPr>
          <w:p>
            <w:pPr>
              <w:pStyle w:val="TableParagraph"/>
              <w:ind w:left="0"/>
              <w:rPr>
                <w:rFonts w:ascii="Times New Roman"/>
                <w:sz w:val="24"/>
              </w:rPr>
            </w:pPr>
          </w:p>
        </w:tc>
        <w:tc>
          <w:tcPr>
            <w:tcW w:w="2851" w:type="dxa"/>
          </w:tcPr>
          <w:p>
            <w:pPr>
              <w:pStyle w:val="TableParagraph"/>
              <w:spacing w:before="122"/>
              <w:ind w:right="843" w:hanging="1"/>
              <w:rPr>
                <w:sz w:val="22"/>
              </w:rPr>
            </w:pPr>
            <w:r>
              <w:rPr>
                <w:sz w:val="22"/>
              </w:rPr>
              <w:t>46 Austin Avenue Croydon</w:t>
            </w:r>
          </w:p>
        </w:tc>
        <w:tc>
          <w:tcPr>
            <w:tcW w:w="2353" w:type="dxa"/>
          </w:tcPr>
          <w:p>
            <w:pPr>
              <w:pStyle w:val="TableParagraph"/>
              <w:spacing w:before="122"/>
              <w:ind w:left="293" w:right="84" w:hanging="1"/>
              <w:rPr>
                <w:sz w:val="22"/>
              </w:rPr>
            </w:pPr>
            <w:r>
              <w:rPr>
                <w:sz w:val="22"/>
              </w:rPr>
              <w:t>130 Benjamin Place Lytton</w:t>
            </w:r>
          </w:p>
        </w:tc>
        <w:tc>
          <w:tcPr>
            <w:tcW w:w="2227" w:type="dxa"/>
          </w:tcPr>
          <w:p>
            <w:pPr>
              <w:pStyle w:val="TableParagraph"/>
              <w:spacing w:before="122"/>
              <w:ind w:left="101" w:right="333" w:hanging="1"/>
              <w:rPr>
                <w:sz w:val="22"/>
              </w:rPr>
            </w:pPr>
            <w:r>
              <w:rPr>
                <w:sz w:val="22"/>
              </w:rPr>
              <w:t>17 Buckle Avenue Engadine</w:t>
            </w:r>
          </w:p>
        </w:tc>
        <w:tc>
          <w:tcPr>
            <w:tcW w:w="2202" w:type="dxa"/>
          </w:tcPr>
          <w:p>
            <w:pPr>
              <w:pStyle w:val="TableParagraph"/>
              <w:spacing w:before="122"/>
              <w:ind w:left="156" w:right="507" w:firstLine="2"/>
              <w:rPr>
                <w:sz w:val="22"/>
              </w:rPr>
            </w:pPr>
            <w:r>
              <w:rPr>
                <w:sz w:val="22"/>
              </w:rPr>
              <w:t>1 Mareno Road Tullamarine</w:t>
            </w:r>
          </w:p>
        </w:tc>
        <w:tc>
          <w:tcPr>
            <w:tcW w:w="2601" w:type="dxa"/>
          </w:tcPr>
          <w:p>
            <w:pPr>
              <w:pStyle w:val="TableParagraph"/>
              <w:spacing w:before="122"/>
              <w:ind w:left="81" w:firstLine="4"/>
              <w:rPr>
                <w:sz w:val="22"/>
              </w:rPr>
            </w:pPr>
            <w:r>
              <w:rPr>
                <w:sz w:val="22"/>
              </w:rPr>
              <w:t>32 Sunline Drive Truganina</w:t>
            </w:r>
          </w:p>
        </w:tc>
      </w:tr>
      <w:tr>
        <w:trPr>
          <w:trHeight w:val="505" w:hRule="atLeast"/>
        </w:trPr>
        <w:tc>
          <w:tcPr>
            <w:tcW w:w="1792" w:type="dxa"/>
          </w:tcPr>
          <w:p>
            <w:pPr>
              <w:pStyle w:val="TableParagraph"/>
              <w:ind w:left="0"/>
              <w:rPr>
                <w:rFonts w:ascii="Times New Roman"/>
                <w:sz w:val="24"/>
              </w:rPr>
            </w:pPr>
          </w:p>
        </w:tc>
        <w:tc>
          <w:tcPr>
            <w:tcW w:w="2851" w:type="dxa"/>
          </w:tcPr>
          <w:p>
            <w:pPr>
              <w:pStyle w:val="TableParagraph"/>
              <w:spacing w:before="123"/>
              <w:ind w:left="265"/>
              <w:rPr>
                <w:sz w:val="22"/>
              </w:rPr>
            </w:pPr>
            <w:r>
              <w:rPr>
                <w:sz w:val="22"/>
              </w:rPr>
              <w:t>NSW 2132</w:t>
            </w:r>
          </w:p>
        </w:tc>
        <w:tc>
          <w:tcPr>
            <w:tcW w:w="2353" w:type="dxa"/>
          </w:tcPr>
          <w:p>
            <w:pPr>
              <w:pStyle w:val="TableParagraph"/>
              <w:spacing w:before="123"/>
              <w:ind w:left="294"/>
              <w:rPr>
                <w:sz w:val="22"/>
              </w:rPr>
            </w:pPr>
            <w:r>
              <w:rPr>
                <w:sz w:val="22"/>
              </w:rPr>
              <w:t>QLD 4014</w:t>
            </w:r>
          </w:p>
        </w:tc>
        <w:tc>
          <w:tcPr>
            <w:tcW w:w="2227" w:type="dxa"/>
          </w:tcPr>
          <w:p>
            <w:pPr>
              <w:pStyle w:val="TableParagraph"/>
              <w:spacing w:before="123"/>
              <w:ind w:left="101"/>
              <w:rPr>
                <w:sz w:val="22"/>
              </w:rPr>
            </w:pPr>
            <w:r>
              <w:rPr>
                <w:sz w:val="22"/>
              </w:rPr>
              <w:t>NSW 2233</w:t>
            </w:r>
          </w:p>
        </w:tc>
        <w:tc>
          <w:tcPr>
            <w:tcW w:w="2202" w:type="dxa"/>
          </w:tcPr>
          <w:p>
            <w:pPr>
              <w:pStyle w:val="TableParagraph"/>
              <w:spacing w:before="123"/>
              <w:ind w:left="218"/>
              <w:rPr>
                <w:sz w:val="22"/>
              </w:rPr>
            </w:pPr>
            <w:r>
              <w:rPr>
                <w:sz w:val="22"/>
              </w:rPr>
              <w:t>VIC 3043</w:t>
            </w:r>
          </w:p>
        </w:tc>
        <w:tc>
          <w:tcPr>
            <w:tcW w:w="2601" w:type="dxa"/>
          </w:tcPr>
          <w:p>
            <w:pPr>
              <w:pStyle w:val="TableParagraph"/>
              <w:spacing w:before="123"/>
              <w:ind w:left="132"/>
              <w:rPr>
                <w:sz w:val="22"/>
              </w:rPr>
            </w:pPr>
            <w:r>
              <w:rPr>
                <w:sz w:val="22"/>
              </w:rPr>
              <w:t>VIC 3029</w:t>
            </w:r>
          </w:p>
        </w:tc>
      </w:tr>
      <w:tr>
        <w:trPr>
          <w:trHeight w:val="759" w:hRule="atLeast"/>
        </w:trPr>
        <w:tc>
          <w:tcPr>
            <w:tcW w:w="1792" w:type="dxa"/>
          </w:tcPr>
          <w:p>
            <w:pPr>
              <w:pStyle w:val="TableParagraph"/>
              <w:ind w:left="0"/>
              <w:rPr>
                <w:rFonts w:ascii="Times New Roman"/>
                <w:sz w:val="24"/>
              </w:rPr>
            </w:pPr>
          </w:p>
        </w:tc>
        <w:tc>
          <w:tcPr>
            <w:tcW w:w="2851" w:type="dxa"/>
          </w:tcPr>
          <w:p>
            <w:pPr>
              <w:pStyle w:val="TableParagraph"/>
              <w:spacing w:before="122"/>
              <w:ind w:right="659"/>
              <w:rPr>
                <w:sz w:val="22"/>
              </w:rPr>
            </w:pPr>
            <w:r>
              <w:rPr>
                <w:sz w:val="22"/>
                <w:u w:val="single"/>
              </w:rPr>
              <w:t>Person in Authority</w:t>
            </w:r>
            <w:r>
              <w:rPr>
                <w:sz w:val="22"/>
              </w:rPr>
              <w:t> Wenqi Shi (Ronnie)</w:t>
            </w:r>
          </w:p>
        </w:tc>
        <w:tc>
          <w:tcPr>
            <w:tcW w:w="2353" w:type="dxa"/>
          </w:tcPr>
          <w:p>
            <w:pPr>
              <w:pStyle w:val="TableParagraph"/>
              <w:spacing w:before="122"/>
              <w:ind w:left="293" w:right="181"/>
              <w:rPr>
                <w:sz w:val="22"/>
              </w:rPr>
            </w:pPr>
            <w:r>
              <w:rPr>
                <w:sz w:val="22"/>
                <w:u w:val="single"/>
              </w:rPr>
              <w:t>Person in Authority</w:t>
            </w:r>
            <w:r>
              <w:rPr>
                <w:sz w:val="22"/>
              </w:rPr>
              <w:t> Mark Power</w:t>
            </w:r>
          </w:p>
        </w:tc>
        <w:tc>
          <w:tcPr>
            <w:tcW w:w="2227" w:type="dxa"/>
          </w:tcPr>
          <w:p>
            <w:pPr>
              <w:pStyle w:val="TableParagraph"/>
              <w:spacing w:before="122"/>
              <w:ind w:left="100" w:right="248"/>
              <w:rPr>
                <w:sz w:val="22"/>
              </w:rPr>
            </w:pPr>
            <w:r>
              <w:rPr>
                <w:sz w:val="22"/>
                <w:u w:val="single"/>
              </w:rPr>
              <w:t>Person in Authority</w:t>
            </w:r>
            <w:r>
              <w:rPr>
                <w:sz w:val="22"/>
              </w:rPr>
              <w:t> Bradley Routh</w:t>
            </w:r>
          </w:p>
        </w:tc>
        <w:tc>
          <w:tcPr>
            <w:tcW w:w="2202" w:type="dxa"/>
          </w:tcPr>
          <w:p>
            <w:pPr>
              <w:pStyle w:val="TableParagraph"/>
              <w:spacing w:before="122"/>
              <w:ind w:left="218" w:right="105"/>
              <w:rPr>
                <w:sz w:val="22"/>
              </w:rPr>
            </w:pPr>
            <w:r>
              <w:rPr>
                <w:sz w:val="22"/>
                <w:u w:val="single"/>
              </w:rPr>
              <w:t>Person in Authority</w:t>
            </w:r>
            <w:r>
              <w:rPr>
                <w:sz w:val="22"/>
              </w:rPr>
              <w:t> Deanne Withers</w:t>
            </w:r>
          </w:p>
        </w:tc>
        <w:tc>
          <w:tcPr>
            <w:tcW w:w="2601" w:type="dxa"/>
          </w:tcPr>
          <w:p>
            <w:pPr>
              <w:pStyle w:val="TableParagraph"/>
              <w:spacing w:before="122"/>
              <w:ind w:left="142" w:right="602" w:hanging="22"/>
              <w:rPr>
                <w:sz w:val="22"/>
              </w:rPr>
            </w:pPr>
            <w:r>
              <w:rPr>
                <w:sz w:val="22"/>
                <w:u w:val="single"/>
              </w:rPr>
              <w:t>Person in Authority</w:t>
            </w:r>
            <w:r>
              <w:rPr>
                <w:sz w:val="22"/>
              </w:rPr>
              <w:t> Alan Gesmundo</w:t>
            </w:r>
          </w:p>
        </w:tc>
      </w:tr>
      <w:tr>
        <w:trPr>
          <w:trHeight w:val="1134" w:hRule="atLeast"/>
        </w:trPr>
        <w:tc>
          <w:tcPr>
            <w:tcW w:w="1792" w:type="dxa"/>
          </w:tcPr>
          <w:p>
            <w:pPr>
              <w:pStyle w:val="TableParagraph"/>
              <w:ind w:left="0"/>
              <w:rPr>
                <w:rFonts w:ascii="Times New Roman"/>
                <w:sz w:val="24"/>
              </w:rPr>
            </w:pPr>
          </w:p>
        </w:tc>
        <w:tc>
          <w:tcPr>
            <w:tcW w:w="2851" w:type="dxa"/>
          </w:tcPr>
          <w:p>
            <w:pPr>
              <w:pStyle w:val="TableParagraph"/>
              <w:spacing w:before="123"/>
              <w:ind w:right="390"/>
              <w:rPr>
                <w:sz w:val="22"/>
              </w:rPr>
            </w:pPr>
            <w:r>
              <w:rPr>
                <w:sz w:val="22"/>
                <w:u w:val="single"/>
              </w:rPr>
              <w:t>Nominee Broker</w:t>
            </w:r>
            <w:r>
              <w:rPr>
                <w:sz w:val="22"/>
              </w:rPr>
              <w:t> Haidong Guo (Darren)</w:t>
            </w:r>
          </w:p>
        </w:tc>
        <w:tc>
          <w:tcPr>
            <w:tcW w:w="2353" w:type="dxa"/>
          </w:tcPr>
          <w:p>
            <w:pPr>
              <w:pStyle w:val="TableParagraph"/>
              <w:spacing w:before="123"/>
              <w:ind w:left="293" w:right="266"/>
              <w:rPr>
                <w:sz w:val="22"/>
              </w:rPr>
            </w:pPr>
            <w:r>
              <w:rPr>
                <w:sz w:val="22"/>
                <w:u w:val="single"/>
              </w:rPr>
              <w:t>Nominee Broker</w:t>
            </w:r>
            <w:r>
              <w:rPr>
                <w:sz w:val="22"/>
              </w:rPr>
              <w:t> Brendan Peterson</w:t>
            </w:r>
          </w:p>
        </w:tc>
        <w:tc>
          <w:tcPr>
            <w:tcW w:w="2227" w:type="dxa"/>
          </w:tcPr>
          <w:p>
            <w:pPr>
              <w:pStyle w:val="TableParagraph"/>
              <w:spacing w:before="123"/>
              <w:ind w:left="100" w:right="517"/>
              <w:rPr>
                <w:sz w:val="22"/>
              </w:rPr>
            </w:pPr>
            <w:r>
              <w:rPr>
                <w:sz w:val="22"/>
                <w:u w:val="single"/>
              </w:rPr>
              <w:t>Nominee Broker</w:t>
            </w:r>
            <w:r>
              <w:rPr>
                <w:sz w:val="22"/>
              </w:rPr>
              <w:t> Allison Routh</w:t>
            </w:r>
          </w:p>
        </w:tc>
        <w:tc>
          <w:tcPr>
            <w:tcW w:w="2202" w:type="dxa"/>
          </w:tcPr>
          <w:p>
            <w:pPr>
              <w:pStyle w:val="TableParagraph"/>
              <w:spacing w:before="123"/>
              <w:ind w:left="218" w:right="44"/>
              <w:rPr>
                <w:sz w:val="22"/>
              </w:rPr>
            </w:pPr>
            <w:r>
              <w:rPr>
                <w:sz w:val="22"/>
                <w:u w:val="single"/>
              </w:rPr>
              <w:t>Nominee Broker</w:t>
            </w:r>
            <w:r>
              <w:rPr>
                <w:sz w:val="22"/>
              </w:rPr>
              <w:t> Barbara Gojrzewski Rachel Chapman</w:t>
            </w:r>
          </w:p>
          <w:p>
            <w:pPr>
              <w:pStyle w:val="TableParagraph"/>
              <w:spacing w:line="233" w:lineRule="exact"/>
              <w:ind w:left="218"/>
              <w:rPr>
                <w:sz w:val="22"/>
              </w:rPr>
            </w:pPr>
            <w:r>
              <w:rPr>
                <w:sz w:val="22"/>
              </w:rPr>
              <w:t>Jarrod Leslie</w:t>
            </w:r>
          </w:p>
        </w:tc>
        <w:tc>
          <w:tcPr>
            <w:tcW w:w="2601" w:type="dxa"/>
          </w:tcPr>
          <w:p>
            <w:pPr>
              <w:pStyle w:val="TableParagraph"/>
              <w:spacing w:before="123"/>
              <w:ind w:left="179" w:right="824" w:hanging="25"/>
              <w:rPr>
                <w:sz w:val="22"/>
              </w:rPr>
            </w:pPr>
            <w:r>
              <w:rPr>
                <w:sz w:val="22"/>
                <w:u w:val="single"/>
              </w:rPr>
              <w:t>Nominee Broker</w:t>
            </w:r>
            <w:r>
              <w:rPr>
                <w:sz w:val="22"/>
              </w:rPr>
              <w:t> Daniel Crawford</w:t>
            </w:r>
          </w:p>
        </w:tc>
      </w:tr>
    </w:tbl>
    <w:p>
      <w:pPr>
        <w:pStyle w:val="BodyText"/>
        <w:rPr>
          <w:sz w:val="20"/>
        </w:rPr>
      </w:pPr>
    </w:p>
    <w:p>
      <w:pPr>
        <w:pStyle w:val="BodyText"/>
        <w:spacing w:before="10"/>
        <w:rPr>
          <w:sz w:val="19"/>
        </w:rPr>
      </w:pPr>
    </w:p>
    <w:p>
      <w:pPr>
        <w:pStyle w:val="BodyText"/>
        <w:spacing w:before="93"/>
        <w:ind w:left="150" w:right="2703"/>
      </w:pPr>
      <w:r>
        <w:rPr/>
        <w:t>Any person wishing to make written representation in respect of any of these applicants should address the correspondence, by 3 December 2018, to:</w:t>
      </w:r>
    </w:p>
    <w:p>
      <w:pPr>
        <w:pStyle w:val="BodyText"/>
        <w:spacing w:before="11"/>
        <w:rPr>
          <w:sz w:val="23"/>
        </w:rPr>
      </w:pPr>
    </w:p>
    <w:p>
      <w:pPr>
        <w:pStyle w:val="BodyText"/>
        <w:ind w:left="716"/>
      </w:pPr>
      <w:r>
        <w:rPr/>
        <w:t>Broker Licensing</w:t>
      </w:r>
    </w:p>
    <w:p>
      <w:pPr>
        <w:pStyle w:val="BodyText"/>
        <w:tabs>
          <w:tab w:pos="6476" w:val="left" w:leader="none"/>
        </w:tabs>
        <w:ind w:left="716"/>
      </w:pPr>
      <w:r>
        <w:rPr/>
        <w:t>Department of</w:t>
      </w:r>
      <w:r>
        <w:rPr>
          <w:spacing w:val="-6"/>
        </w:rPr>
        <w:t> </w:t>
      </w:r>
      <w:r>
        <w:rPr/>
        <w:t>Home</w:t>
      </w:r>
      <w:r>
        <w:rPr>
          <w:spacing w:val="-1"/>
        </w:rPr>
        <w:t> </w:t>
      </w:r>
      <w:r>
        <w:rPr/>
        <w:t>Affairs</w:t>
        <w:tab/>
        <w:t>Or</w:t>
      </w:r>
      <w:r>
        <w:rPr>
          <w:spacing w:val="-1"/>
        </w:rPr>
        <w:t> </w:t>
      </w:r>
      <w:r>
        <w:rPr/>
        <w:t>email:</w:t>
      </w:r>
    </w:p>
    <w:p>
      <w:pPr>
        <w:pStyle w:val="BodyText"/>
        <w:tabs>
          <w:tab w:pos="6476" w:val="left" w:leader="none"/>
        </w:tabs>
        <w:ind w:left="716" w:right="3672"/>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50" w:right="28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50"/>
      </w:pPr>
      <w:r>
        <w:rPr/>
        <w:t>[signed]</w:t>
      </w:r>
    </w:p>
    <w:p>
      <w:pPr>
        <w:pStyle w:val="BodyText"/>
      </w:pPr>
    </w:p>
    <w:p>
      <w:pPr>
        <w:pStyle w:val="BodyText"/>
        <w:ind w:left="150" w:right="12242"/>
      </w:pPr>
      <w:r>
        <w:rPr/>
        <w:t>Auneesh Kishore A/g Director</w:t>
      </w:r>
    </w:p>
    <w:p>
      <w:pPr>
        <w:pStyle w:val="BodyText"/>
        <w:ind w:left="150"/>
      </w:pPr>
      <w:r>
        <w:rPr/>
        <w:t>Customs Licensing Section</w:t>
      </w:r>
    </w:p>
    <w:p>
      <w:pPr>
        <w:pStyle w:val="BodyText"/>
        <w:ind w:left="150" w:right="9508"/>
      </w:pPr>
      <w:r>
        <w:rPr/>
        <w:t>Trusted Trader and Trade Services Branch CANBERRA ACT</w:t>
      </w:r>
    </w:p>
    <w:p>
      <w:pPr>
        <w:pStyle w:val="BodyText"/>
      </w:pPr>
    </w:p>
    <w:p>
      <w:pPr>
        <w:pStyle w:val="BodyText"/>
        <w:spacing w:before="1"/>
        <w:ind w:left="150"/>
      </w:pPr>
      <w:r>
        <w:rPr/>
        <w:t>16 November 2018</w:t>
      </w:r>
    </w:p>
    <w:sectPr>
      <w:type w:val="continuous"/>
      <w:pgSz w:w="16840" w:h="23820"/>
      <w:pgMar w:top="0" w:bottom="280" w:left="2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731" w:right="272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6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Customs Broker Notice</cp:keywords>
  <dc:subject>Application for Customs Broker Licences</dc:subject>
  <dc:title>Department of Home Affairs Notice 2018-34</dc:title>
  <dcterms:created xsi:type="dcterms:W3CDTF">2020-12-09T22:31:29Z</dcterms:created>
  <dcterms:modified xsi:type="dcterms:W3CDTF">2020-12-09T22:31:29Z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Acrobat PDFMaker 15 for Word</vt:lpwstr>
  </property>
  <property fmtid="{D5CDD505-2E9C-101B-9397-08002B2CF9AE}" pid="4" name="LastSaved">
    <vt:filetime>2020-12-09T00:00:00Z</vt:filetime>
  </property>
</Properties>
</file>