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9967474</wp:posOffset>
            </wp:positionV>
            <wp:extent cx="7544714" cy="7156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4714" cy="715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-1467411</wp:posOffset>
            </wp:positionV>
            <wp:extent cx="7558404" cy="1459103"/>
            <wp:effectExtent l="0" t="0" r="0" b="0"/>
            <wp:wrapNone/>
            <wp:docPr id="3" name="image2.jpeg" descr="Australian Government Department of Home Affairs and Australian Border Force logo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04" cy="1459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4EA1"/>
        </w:rPr>
        <w:t>DEPARTMENT OF HOME AFFAIRS Notice No. 2018/38</w:t>
      </w:r>
    </w:p>
    <w:p>
      <w:pPr>
        <w:spacing w:line="264" w:lineRule="auto" w:before="362"/>
        <w:ind w:left="1133" w:right="2221" w:firstLine="0"/>
        <w:jc w:val="left"/>
        <w:rPr>
          <w:rFonts w:ascii="Arial-BoldItalicMT"/>
          <w:b/>
          <w:i/>
          <w:sz w:val="40"/>
        </w:rPr>
      </w:pPr>
      <w:r>
        <w:rPr>
          <w:rFonts w:ascii="Arial-BoldItalicMT"/>
          <w:b/>
          <w:i/>
          <w:sz w:val="40"/>
        </w:rPr>
        <w:t>GST Exemption Codes for Feminine Hygiene Products at the border (from 1 January 2019)</w:t>
      </w:r>
    </w:p>
    <w:p>
      <w:pPr>
        <w:spacing w:line="264" w:lineRule="auto" w:before="237"/>
        <w:ind w:left="1133" w:right="1151" w:firstLine="0"/>
        <w:jc w:val="left"/>
        <w:rPr>
          <w:sz w:val="24"/>
        </w:rPr>
      </w:pPr>
      <w:r>
        <w:rPr>
          <w:sz w:val="24"/>
        </w:rPr>
        <w:t>The Minister For Health has made a determination regarding GST-free health goods under paragraph 177-10(4)(b) of the </w:t>
      </w:r>
      <w:r>
        <w:rPr>
          <w:i/>
          <w:sz w:val="24"/>
        </w:rPr>
        <w:t>A New Tax System (Goods and Services Tax ) Act 1999 </w:t>
      </w:r>
      <w:r>
        <w:rPr>
          <w:sz w:val="24"/>
        </w:rPr>
        <w:t>(Act).</w:t>
      </w:r>
    </w:p>
    <w:p>
      <w:pPr>
        <w:spacing w:line="264" w:lineRule="auto" w:before="117"/>
        <w:ind w:left="1133" w:right="1231" w:firstLine="0"/>
        <w:jc w:val="left"/>
        <w:rPr>
          <w:sz w:val="24"/>
        </w:rPr>
      </w:pPr>
      <w:r>
        <w:rPr>
          <w:sz w:val="24"/>
        </w:rPr>
        <w:t>From 1 January 2019 the </w:t>
      </w:r>
      <w:r>
        <w:rPr>
          <w:i/>
          <w:sz w:val="24"/>
        </w:rPr>
        <w:t>A New Tax System (Goods and Services Tax) (GST-free Health Goods) Determination 2018 </w:t>
      </w:r>
      <w:r>
        <w:rPr>
          <w:sz w:val="24"/>
        </w:rPr>
        <w:t>(Determination) will apply to goods described as menstrual products. This includes maternity pads, menstrual cups, menstrual pads, menstrual liners, menstrual underwear, tampons and other similar products specifically designed to absorb menstrual-related discharge.</w:t>
      </w:r>
    </w:p>
    <w:p>
      <w:pPr>
        <w:pStyle w:val="BodyText"/>
        <w:spacing w:line="264" w:lineRule="auto" w:before="124"/>
        <w:ind w:left="1133" w:right="2005"/>
      </w:pPr>
      <w:r>
        <w:rPr/>
        <w:t>GST will not be charged on any goods upon import that meet the description in the determination.</w:t>
      </w:r>
    </w:p>
    <w:p>
      <w:pPr>
        <w:pStyle w:val="BodyText"/>
        <w:spacing w:line="264" w:lineRule="auto" w:before="120"/>
        <w:ind w:left="1133" w:right="1367"/>
      </w:pPr>
      <w:r>
        <w:rPr/>
        <w:t>A new GST exemption code for feminine hygiene products can be used in the Integrated Cargo System (ICS) from 1 January 2019. The GST-free exemption code (FHP) will only apply to goods that meet the description of menstrual products as set out in the determination and are classified under the following tariff classifications: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114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1"/>
        <w:gridCol w:w="6940"/>
      </w:tblGrid>
      <w:tr>
        <w:trPr>
          <w:trHeight w:val="424" w:hRule="atLeast"/>
        </w:trPr>
        <w:tc>
          <w:tcPr>
            <w:tcW w:w="2691" w:type="dxa"/>
            <w:shd w:val="clear" w:color="auto" w:fill="E4E4E4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Classification</w:t>
            </w:r>
          </w:p>
        </w:tc>
        <w:tc>
          <w:tcPr>
            <w:tcW w:w="6940" w:type="dxa"/>
            <w:shd w:val="clear" w:color="auto" w:fill="E4E4E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Goods</w:t>
            </w:r>
          </w:p>
        </w:tc>
      </w:tr>
      <w:tr>
        <w:trPr>
          <w:trHeight w:val="726" w:hRule="atLeast"/>
        </w:trPr>
        <w:tc>
          <w:tcPr>
            <w:tcW w:w="269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4014.90.00</w:t>
            </w:r>
          </w:p>
        </w:tc>
        <w:tc>
          <w:tcPr>
            <w:tcW w:w="6940" w:type="dxa"/>
          </w:tcPr>
          <w:p>
            <w:pPr>
              <w:pStyle w:val="TableParagraph"/>
              <w:spacing w:line="300" w:lineRule="atLeast" w:before="94"/>
              <w:ind w:right="426"/>
              <w:rPr>
                <w:sz w:val="24"/>
              </w:rPr>
            </w:pPr>
            <w:r>
              <w:rPr>
                <w:sz w:val="24"/>
              </w:rPr>
              <w:t>Other (hygienic articles of vulcanised rubber other than hard rubber, with or without fittings of hard rubber)</w:t>
            </w:r>
          </w:p>
        </w:tc>
      </w:tr>
      <w:tr>
        <w:trPr>
          <w:trHeight w:val="424" w:hRule="atLeast"/>
        </w:trPr>
        <w:tc>
          <w:tcPr>
            <w:tcW w:w="269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9619.00.21</w:t>
            </w:r>
          </w:p>
        </w:tc>
        <w:tc>
          <w:tcPr>
            <w:tcW w:w="69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Tampons</w:t>
            </w:r>
          </w:p>
        </w:tc>
      </w:tr>
      <w:tr>
        <w:trPr>
          <w:trHeight w:val="422" w:hRule="atLeast"/>
        </w:trPr>
        <w:tc>
          <w:tcPr>
            <w:tcW w:w="269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9619.00.30</w:t>
            </w:r>
          </w:p>
        </w:tc>
        <w:tc>
          <w:tcPr>
            <w:tcW w:w="69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Sanitary articles, NSA, being women’s or girls’ briefs</w:t>
            </w:r>
          </w:p>
        </w:tc>
      </w:tr>
      <w:tr>
        <w:trPr>
          <w:trHeight w:val="424" w:hRule="atLeast"/>
        </w:trPr>
        <w:tc>
          <w:tcPr>
            <w:tcW w:w="269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9619.00.50</w:t>
            </w:r>
          </w:p>
        </w:tc>
        <w:tc>
          <w:tcPr>
            <w:tcW w:w="69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Clothing accessories</w:t>
            </w:r>
          </w:p>
        </w:tc>
      </w:tr>
      <w:tr>
        <w:trPr>
          <w:trHeight w:val="425" w:hRule="atLeast"/>
        </w:trPr>
        <w:tc>
          <w:tcPr>
            <w:tcW w:w="269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9619.00.60</w:t>
            </w:r>
          </w:p>
        </w:tc>
        <w:tc>
          <w:tcPr>
            <w:tcW w:w="69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Sanitary articles of plastics, NSA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4446</wp:posOffset>
            </wp:positionH>
            <wp:positionV relativeFrom="paragraph">
              <wp:posOffset>-474016</wp:posOffset>
            </wp:positionV>
            <wp:extent cx="7552944" cy="18351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944" cy="18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Penalties for misuse of Tariff Classification and/or GST Exemption Codes</w:t>
      </w:r>
    </w:p>
    <w:p>
      <w:pPr>
        <w:pStyle w:val="BodyText"/>
        <w:spacing w:line="264" w:lineRule="auto" w:before="147"/>
        <w:ind w:left="1133" w:right="1259"/>
      </w:pPr>
      <w:r>
        <w:rPr/>
        <w:t>Importers and their agents must correctly self-assess the tariff classification of goods they import.</w:t>
      </w:r>
    </w:p>
    <w:p>
      <w:pPr>
        <w:pStyle w:val="BodyText"/>
        <w:spacing w:line="264" w:lineRule="auto" w:before="120"/>
        <w:ind w:left="1133" w:right="1312"/>
      </w:pPr>
      <w:r>
        <w:rPr/>
        <w:t>Penalties may apply for incorrect or misleading information reported to the Department of Home Affairs.</w:t>
      </w:r>
    </w:p>
    <w:p>
      <w:pPr>
        <w:spacing w:line="264" w:lineRule="auto" w:before="120"/>
        <w:ind w:left="1133" w:right="1299" w:firstLine="0"/>
        <w:jc w:val="left"/>
        <w:rPr>
          <w:i/>
          <w:sz w:val="24"/>
        </w:rPr>
      </w:pPr>
      <w:r>
        <w:rPr>
          <w:sz w:val="24"/>
        </w:rPr>
        <w:t>The Australian Border Force and Australian Taxation Office will enforce breaches of the GST Exemption Code under the </w:t>
      </w:r>
      <w:r>
        <w:rPr>
          <w:i/>
          <w:sz w:val="24"/>
        </w:rPr>
        <w:t>A New Tax System (Goods and Services Tax) Act 1999.</w:t>
      </w:r>
    </w:p>
    <w:p>
      <w:pPr>
        <w:pStyle w:val="Heading1"/>
        <w:spacing w:before="120"/>
      </w:pPr>
      <w:r>
        <w:rPr/>
        <w:t>Further information</w:t>
      </w:r>
    </w:p>
    <w:p>
      <w:pPr>
        <w:spacing w:line="264" w:lineRule="auto" w:before="146"/>
        <w:ind w:left="1133" w:right="1152" w:firstLine="0"/>
        <w:jc w:val="left"/>
        <w:rPr>
          <w:b/>
          <w:sz w:val="24"/>
        </w:rPr>
      </w:pPr>
      <w:r>
        <w:rPr>
          <w:sz w:val="24"/>
        </w:rPr>
        <w:t>The </w:t>
      </w:r>
      <w:r>
        <w:rPr>
          <w:i/>
          <w:sz w:val="24"/>
        </w:rPr>
        <w:t>A New Tax System (Goods and Services Tax) (GST-free Health Goods) Determination 2018 </w:t>
      </w:r>
      <w:r>
        <w:rPr>
          <w:sz w:val="24"/>
        </w:rPr>
        <w:t>is available at:</w:t>
      </w:r>
      <w:r>
        <w:rPr>
          <w:spacing w:val="-21"/>
          <w:sz w:val="24"/>
        </w:rPr>
        <w:t> </w:t>
      </w:r>
      <w:hyperlink r:id="rId8">
        <w:r>
          <w:rPr>
            <w:b/>
            <w:color w:val="006FC0"/>
            <w:sz w:val="24"/>
            <w:u w:val="thick" w:color="006FC0"/>
          </w:rPr>
          <w:t>https://www.legislation.gov.au/Details/F2018L01624</w:t>
        </w:r>
      </w:hyperlink>
    </w:p>
    <w:p>
      <w:pPr>
        <w:pStyle w:val="Heading1"/>
        <w:spacing w:before="123"/>
      </w:pPr>
      <w:r>
        <w:rPr/>
        <w:t>Enquiries</w:t>
      </w:r>
    </w:p>
    <w:p>
      <w:pPr>
        <w:spacing w:before="147"/>
        <w:ind w:left="1133" w:right="0" w:firstLine="0"/>
        <w:jc w:val="left"/>
        <w:rPr>
          <w:b/>
          <w:sz w:val="24"/>
        </w:rPr>
      </w:pPr>
      <w:r>
        <w:rPr>
          <w:sz w:val="24"/>
        </w:rPr>
        <w:t>Email: </w:t>
      </w:r>
      <w:hyperlink r:id="rId9">
        <w:r>
          <w:rPr>
            <w:b/>
            <w:color w:val="006FC0"/>
            <w:sz w:val="24"/>
            <w:u w:val="thick" w:color="006FC0"/>
          </w:rPr>
          <w:t>traderevenue@homeaffairs.gov.au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before="93"/>
        <w:ind w:left="1133"/>
      </w:pPr>
      <w:r>
        <w:rPr/>
        <w:t>[signed]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64" w:lineRule="auto"/>
        <w:ind w:left="1133" w:right="8649"/>
      </w:pPr>
      <w:r>
        <w:rPr/>
        <w:t>Matthew Duckworth Assistant Secretary</w:t>
      </w:r>
    </w:p>
    <w:p>
      <w:pPr>
        <w:pStyle w:val="BodyText"/>
        <w:spacing w:line="264" w:lineRule="auto"/>
        <w:ind w:left="1133" w:right="3491"/>
      </w:pPr>
      <w:r>
        <w:rPr/>
        <w:t>Customs and Border Revenue Branch | Trade and Customs Division Infrastructure, Transport Security and Customs Group</w:t>
      </w:r>
    </w:p>
    <w:p>
      <w:pPr>
        <w:pStyle w:val="BodyText"/>
        <w:ind w:left="1133"/>
      </w:pPr>
      <w:r>
        <w:rPr/>
        <w:t>Department of Home Affairs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133"/>
      </w:pPr>
      <w:r>
        <w:rPr/>
        <w:t>21 December 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96"/>
        <w:ind w:left="6440" w:right="0" w:firstLine="0"/>
        <w:jc w:val="left"/>
        <w:rPr>
          <w:sz w:val="16"/>
        </w:rPr>
      </w:pPr>
      <w:r>
        <w:rPr>
          <w:sz w:val="16"/>
        </w:rPr>
        <w:t>DEPARTMENT OF HOME AFFAIRS Notice No. 2018/38 | 2</w:t>
      </w:r>
    </w:p>
    <w:sectPr>
      <w:pgSz w:w="11910" w:h="16840"/>
      <w:pgMar w:top="5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a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133"/>
      <w:outlineLvl w:val="1"/>
    </w:pPr>
    <w:rPr>
      <w:rFonts w:ascii="Arial" w:hAnsi="Arial" w:eastAsia="Arial" w:cs="Arial"/>
      <w:b/>
      <w:bCs/>
      <w:sz w:val="24"/>
      <w:szCs w:val="24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260"/>
      <w:ind w:left="4741" w:right="1538" w:hanging="3116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8"/>
      <w:ind w:left="107"/>
    </w:pPr>
    <w:rPr>
      <w:rFonts w:ascii="Arial" w:hAnsi="Arial" w:eastAsia="Arial" w:cs="Arial"/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www.legislation.gov.au/Details/F2018L01624" TargetMode="External"/><Relationship Id="rId9" Type="http://schemas.openxmlformats.org/officeDocument/2006/relationships/hyperlink" Target="mailto:traderevenue@homeaffair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Home Affairs</dc:creator>
  <cp:keywords>feminine hygiene products; Home Affairs Notice; 2018/38; GST exemption codes; FHP; Goods and Services Tax; GST-free health goods; products at the border;</cp:keywords>
  <dc:subject>GST Exemption Codes for Feminine Hygiene Products at the border (from 1 January 2019)</dc:subject>
  <dc:title>Department of Home Affairs Notice No. 2018/38</dc:title>
  <dcterms:created xsi:type="dcterms:W3CDTF">2020-12-09T23:12:43Z</dcterms:created>
  <dcterms:modified xsi:type="dcterms:W3CDTF">2020-12-09T23:12:43Z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