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r>
        <w:rPr/>
        <w:drawing>
          <wp:anchor distT="0" distB="0" distL="0" distR="0" allowOverlap="1" layoutInCell="1" locked="0" behindDoc="1" simplePos="0" relativeHeight="487553024">
            <wp:simplePos x="0" y="0"/>
            <wp:positionH relativeFrom="page">
              <wp:posOffset>0</wp:posOffset>
            </wp:positionH>
            <wp:positionV relativeFrom="page">
              <wp:posOffset>4571</wp:posOffset>
            </wp:positionV>
            <wp:extent cx="7559674" cy="1465453"/>
            <wp:effectExtent l="0" t="0" r="0" b="0"/>
            <wp:wrapNone/>
            <wp:docPr id="1" name="image1.jpeg" descr="Australian Government Department of Home Affairs logo."/>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9674" cy="1465453"/>
                    </a:xfrm>
                    <a:prstGeom prst="rect">
                      <a:avLst/>
                    </a:prstGeom>
                  </pic:spPr>
                </pic:pic>
              </a:graphicData>
            </a:graphic>
          </wp:anchor>
        </w:drawing>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10"/>
        <w:rPr>
          <w:rFonts w:ascii="Times New Roman"/>
          <w:sz w:val="22"/>
        </w:rPr>
      </w:pPr>
    </w:p>
    <w:p>
      <w:pPr>
        <w:pStyle w:val="Title"/>
        <w:spacing w:line="264" w:lineRule="auto"/>
      </w:pPr>
      <w:r>
        <w:rPr>
          <w:color w:val="034EA1"/>
        </w:rPr>
        <w:t>DEPARTMENT OF HOME AFFAIRS NOTICE No. 2019/23</w:t>
      </w:r>
    </w:p>
    <w:p>
      <w:pPr>
        <w:pStyle w:val="BodyText"/>
        <w:spacing w:before="5"/>
        <w:rPr>
          <w:b/>
          <w:sz w:val="26"/>
        </w:rPr>
      </w:pPr>
      <w:r>
        <w:rPr/>
        <w:pict>
          <v:rect style="position:absolute;margin-left:55.200001pt;margin-top:17.194590pt;width:484.92pt;height:1.44pt;mso-position-horizontal-relative:page;mso-position-vertical-relative:paragraph;z-index:-15728640;mso-wrap-distance-left:0;mso-wrap-distance-right:0" filled="true" fillcolor="#034ea1" stroked="false">
            <v:fill type="solid"/>
            <w10:wrap type="topAndBottom"/>
          </v:rect>
        </w:pict>
      </w:r>
    </w:p>
    <w:p>
      <w:pPr>
        <w:pStyle w:val="BodyText"/>
        <w:spacing w:before="1"/>
        <w:rPr>
          <w:b/>
          <w:sz w:val="10"/>
        </w:rPr>
      </w:pPr>
    </w:p>
    <w:p>
      <w:pPr>
        <w:spacing w:before="91"/>
        <w:ind w:left="133" w:right="0" w:firstLine="0"/>
        <w:jc w:val="both"/>
        <w:rPr>
          <w:b/>
          <w:sz w:val="28"/>
        </w:rPr>
      </w:pPr>
      <w:r>
        <w:rPr>
          <w:b/>
          <w:sz w:val="28"/>
        </w:rPr>
        <w:t>Origin Waiver benefit for Australian Trusted Traders</w:t>
      </w:r>
    </w:p>
    <w:p>
      <w:pPr>
        <w:pStyle w:val="BodyText"/>
        <w:spacing w:line="264" w:lineRule="auto" w:before="121"/>
        <w:ind w:left="133" w:right="153"/>
        <w:jc w:val="both"/>
      </w:pPr>
      <w:r>
        <w:rPr/>
        <w:t>As of 28 June 2019, Australian Trusted Trader importers will no longer be required to obtain or present origin certification documents, such as a Certificate of Origin (CoO) or Declaration of Origin (DoO), in order to</w:t>
      </w:r>
      <w:r>
        <w:rPr>
          <w:spacing w:val="-32"/>
        </w:rPr>
        <w:t> </w:t>
      </w:r>
      <w:r>
        <w:rPr/>
        <w:t>claim preferential rates of duty under certain free trade agreements</w:t>
      </w:r>
      <w:r>
        <w:rPr>
          <w:spacing w:val="-5"/>
        </w:rPr>
        <w:t> </w:t>
      </w:r>
      <w:r>
        <w:rPr/>
        <w:t>(FTAs).</w:t>
      </w:r>
    </w:p>
    <w:p>
      <w:pPr>
        <w:pStyle w:val="BodyText"/>
        <w:spacing w:before="120"/>
        <w:ind w:left="133"/>
        <w:jc w:val="both"/>
      </w:pPr>
      <w:r>
        <w:rPr/>
        <w:t>This provision applies for the:</w:t>
      </w:r>
    </w:p>
    <w:p>
      <w:pPr>
        <w:pStyle w:val="ListParagraph"/>
        <w:numPr>
          <w:ilvl w:val="0"/>
          <w:numId w:val="1"/>
        </w:numPr>
        <w:tabs>
          <w:tab w:pos="853" w:val="left" w:leader="none"/>
          <w:tab w:pos="854" w:val="left" w:leader="none"/>
        </w:tabs>
        <w:spacing w:line="240" w:lineRule="auto" w:before="156" w:after="0"/>
        <w:ind w:left="853" w:right="0" w:hanging="361"/>
        <w:jc w:val="left"/>
        <w:rPr>
          <w:sz w:val="20"/>
        </w:rPr>
      </w:pPr>
      <w:r>
        <w:rPr>
          <w:sz w:val="20"/>
        </w:rPr>
        <w:t>Australia-Chile Free Trade Agreement (Division 1F of Part VIII of the </w:t>
      </w:r>
      <w:r>
        <w:rPr>
          <w:i/>
          <w:sz w:val="20"/>
        </w:rPr>
        <w:t>Customs Act</w:t>
      </w:r>
      <w:r>
        <w:rPr>
          <w:i/>
          <w:spacing w:val="-5"/>
          <w:sz w:val="20"/>
        </w:rPr>
        <w:t> </w:t>
      </w:r>
      <w:r>
        <w:rPr>
          <w:i/>
          <w:sz w:val="20"/>
        </w:rPr>
        <w:t>1901</w:t>
      </w:r>
      <w:r>
        <w:rPr>
          <w:sz w:val="20"/>
        </w:rPr>
        <w:t>)</w:t>
      </w:r>
    </w:p>
    <w:p>
      <w:pPr>
        <w:pStyle w:val="ListParagraph"/>
        <w:numPr>
          <w:ilvl w:val="0"/>
          <w:numId w:val="1"/>
        </w:numPr>
        <w:tabs>
          <w:tab w:pos="853" w:val="left" w:leader="none"/>
          <w:tab w:pos="854" w:val="left" w:leader="none"/>
        </w:tabs>
        <w:spacing w:line="240" w:lineRule="auto" w:before="156" w:after="0"/>
        <w:ind w:left="853" w:right="0" w:hanging="361"/>
        <w:jc w:val="left"/>
        <w:rPr>
          <w:sz w:val="20"/>
        </w:rPr>
      </w:pPr>
      <w:r>
        <w:rPr>
          <w:sz w:val="20"/>
        </w:rPr>
        <w:t>Japan-Australia Economic Partnership Agreement (Division 1K of Part VIII of the </w:t>
      </w:r>
      <w:r>
        <w:rPr>
          <w:i/>
          <w:sz w:val="20"/>
        </w:rPr>
        <w:t>Customs Act</w:t>
      </w:r>
      <w:r>
        <w:rPr>
          <w:i/>
          <w:spacing w:val="-15"/>
          <w:sz w:val="20"/>
        </w:rPr>
        <w:t> </w:t>
      </w:r>
      <w:r>
        <w:rPr>
          <w:i/>
          <w:sz w:val="20"/>
        </w:rPr>
        <w:t>1901</w:t>
      </w:r>
      <w:r>
        <w:rPr>
          <w:sz w:val="20"/>
        </w:rPr>
        <w:t>)</w:t>
      </w:r>
    </w:p>
    <w:p>
      <w:pPr>
        <w:pStyle w:val="ListParagraph"/>
        <w:numPr>
          <w:ilvl w:val="0"/>
          <w:numId w:val="1"/>
        </w:numPr>
        <w:tabs>
          <w:tab w:pos="853" w:val="left" w:leader="none"/>
          <w:tab w:pos="854" w:val="left" w:leader="none"/>
        </w:tabs>
        <w:spacing w:line="240" w:lineRule="auto" w:before="157" w:after="0"/>
        <w:ind w:left="853" w:right="0" w:hanging="361"/>
        <w:jc w:val="left"/>
        <w:rPr>
          <w:sz w:val="20"/>
        </w:rPr>
      </w:pPr>
      <w:r>
        <w:rPr>
          <w:sz w:val="20"/>
        </w:rPr>
        <w:t>Korea-Australia Free Trade Agreement (Division 1J of Part VIII of the </w:t>
      </w:r>
      <w:r>
        <w:rPr>
          <w:i/>
          <w:sz w:val="20"/>
        </w:rPr>
        <w:t>Customs Act</w:t>
      </w:r>
      <w:r>
        <w:rPr>
          <w:i/>
          <w:spacing w:val="-3"/>
          <w:sz w:val="20"/>
        </w:rPr>
        <w:t> </w:t>
      </w:r>
      <w:r>
        <w:rPr>
          <w:i/>
          <w:sz w:val="20"/>
        </w:rPr>
        <w:t>1901</w:t>
      </w:r>
      <w:r>
        <w:rPr>
          <w:sz w:val="20"/>
        </w:rPr>
        <w:t>)</w:t>
      </w:r>
    </w:p>
    <w:p>
      <w:pPr>
        <w:pStyle w:val="ListParagraph"/>
        <w:numPr>
          <w:ilvl w:val="0"/>
          <w:numId w:val="1"/>
        </w:numPr>
        <w:tabs>
          <w:tab w:pos="853" w:val="left" w:leader="none"/>
          <w:tab w:pos="854" w:val="left" w:leader="none"/>
        </w:tabs>
        <w:spacing w:line="240" w:lineRule="auto" w:before="156" w:after="0"/>
        <w:ind w:left="853" w:right="0" w:hanging="361"/>
        <w:jc w:val="left"/>
        <w:rPr>
          <w:sz w:val="20"/>
        </w:rPr>
      </w:pPr>
      <w:r>
        <w:rPr>
          <w:sz w:val="20"/>
        </w:rPr>
        <w:t>Malaysia-Australia Free Trade Agreement (Division 1H of Part VIII of the </w:t>
      </w:r>
      <w:r>
        <w:rPr>
          <w:i/>
          <w:sz w:val="20"/>
        </w:rPr>
        <w:t>Customs Act</w:t>
      </w:r>
      <w:r>
        <w:rPr>
          <w:i/>
          <w:spacing w:val="-8"/>
          <w:sz w:val="20"/>
        </w:rPr>
        <w:t> </w:t>
      </w:r>
      <w:r>
        <w:rPr>
          <w:i/>
          <w:sz w:val="20"/>
        </w:rPr>
        <w:t>1901</w:t>
      </w:r>
      <w:r>
        <w:rPr>
          <w:sz w:val="20"/>
        </w:rPr>
        <w:t>)</w:t>
      </w:r>
    </w:p>
    <w:p>
      <w:pPr>
        <w:pStyle w:val="ListParagraph"/>
        <w:numPr>
          <w:ilvl w:val="0"/>
          <w:numId w:val="1"/>
        </w:numPr>
        <w:tabs>
          <w:tab w:pos="853" w:val="left" w:leader="none"/>
          <w:tab w:pos="854" w:val="left" w:leader="none"/>
        </w:tabs>
        <w:spacing w:line="240" w:lineRule="auto" w:before="157" w:after="0"/>
        <w:ind w:left="853" w:right="0" w:hanging="361"/>
        <w:jc w:val="left"/>
        <w:rPr>
          <w:sz w:val="20"/>
        </w:rPr>
      </w:pPr>
      <w:r>
        <w:rPr>
          <w:sz w:val="20"/>
        </w:rPr>
        <w:t>Singapore-Australia Free Trade Agreement (Division 1B and 1BA Part VIII of the </w:t>
      </w:r>
      <w:r>
        <w:rPr>
          <w:i/>
          <w:sz w:val="20"/>
        </w:rPr>
        <w:t>Customs Act</w:t>
      </w:r>
      <w:r>
        <w:rPr>
          <w:i/>
          <w:spacing w:val="-17"/>
          <w:sz w:val="20"/>
        </w:rPr>
        <w:t> </w:t>
      </w:r>
      <w:r>
        <w:rPr>
          <w:i/>
          <w:sz w:val="20"/>
        </w:rPr>
        <w:t>1901</w:t>
      </w:r>
      <w:r>
        <w:rPr>
          <w:sz w:val="20"/>
        </w:rPr>
        <w:t>)</w:t>
      </w:r>
    </w:p>
    <w:p>
      <w:pPr>
        <w:pStyle w:val="ListParagraph"/>
        <w:numPr>
          <w:ilvl w:val="0"/>
          <w:numId w:val="1"/>
        </w:numPr>
        <w:tabs>
          <w:tab w:pos="853" w:val="left" w:leader="none"/>
          <w:tab w:pos="854" w:val="left" w:leader="none"/>
        </w:tabs>
        <w:spacing w:line="240" w:lineRule="auto" w:before="156" w:after="0"/>
        <w:ind w:left="853" w:right="0" w:hanging="361"/>
        <w:jc w:val="left"/>
        <w:rPr>
          <w:sz w:val="20"/>
        </w:rPr>
      </w:pPr>
      <w:r>
        <w:rPr>
          <w:sz w:val="20"/>
        </w:rPr>
        <w:t>Thailand-Australia Free Trade Agreement (Division 1D of Part VIII of the </w:t>
      </w:r>
      <w:r>
        <w:rPr>
          <w:i/>
          <w:sz w:val="20"/>
        </w:rPr>
        <w:t>Customs Act</w:t>
      </w:r>
      <w:r>
        <w:rPr>
          <w:i/>
          <w:spacing w:val="-9"/>
          <w:sz w:val="20"/>
        </w:rPr>
        <w:t> </w:t>
      </w:r>
      <w:r>
        <w:rPr>
          <w:i/>
          <w:sz w:val="20"/>
        </w:rPr>
        <w:t>1901</w:t>
      </w:r>
      <w:r>
        <w:rPr>
          <w:sz w:val="20"/>
        </w:rPr>
        <w:t>).</w:t>
      </w:r>
    </w:p>
    <w:p>
      <w:pPr>
        <w:pStyle w:val="BodyText"/>
        <w:rPr>
          <w:sz w:val="23"/>
        </w:rPr>
      </w:pPr>
    </w:p>
    <w:p>
      <w:pPr>
        <w:pStyle w:val="BodyText"/>
        <w:spacing w:line="264" w:lineRule="auto"/>
        <w:ind w:left="133" w:right="184"/>
      </w:pPr>
      <w:r>
        <w:rPr/>
        <w:t>Trusted Trader importers will still be required to keep evidence (generally for a period of at least five years from the day of importation) that imported goods comply with the relevant rules of origin and present this if asked. Examples of evidence can include commercial documentation and contracts, and statements in relation to manufacturing process, materials and compliance with cost requirements from manufacturers.</w:t>
      </w:r>
    </w:p>
    <w:p>
      <w:pPr>
        <w:pStyle w:val="BodyText"/>
        <w:spacing w:before="121"/>
        <w:ind w:left="133"/>
      </w:pPr>
      <w:r>
        <w:rPr/>
        <w:t>The evidence will need to be sufficient to prove that the goods meet the relevant Division of the</w:t>
      </w:r>
    </w:p>
    <w:p>
      <w:pPr>
        <w:pStyle w:val="BodyText"/>
        <w:spacing w:line="264" w:lineRule="auto" w:before="20"/>
        <w:ind w:left="133" w:right="463"/>
      </w:pPr>
      <w:r>
        <w:rPr>
          <w:i/>
        </w:rPr>
        <w:t>Customs Act 1901 </w:t>
      </w:r>
      <w:r>
        <w:rPr/>
        <w:t>and Customs Regulations pertaining to rules of origin (for the relevant FTA) in the absence of a CoO or DoO. If available under the provisions of the relevant FTA, Trusted Trader</w:t>
      </w:r>
      <w:r>
        <w:rPr>
          <w:spacing w:val="-30"/>
        </w:rPr>
        <w:t> </w:t>
      </w:r>
      <w:r>
        <w:rPr/>
        <w:t>importers may be able to meet a request for evidence of origin by providing ‘retrospective’ origin documentation (eg. a ‘retrospective’ CoO or</w:t>
      </w:r>
      <w:r>
        <w:rPr>
          <w:spacing w:val="-1"/>
        </w:rPr>
        <w:t> </w:t>
      </w:r>
      <w:r>
        <w:rPr/>
        <w:t>DoO).</w:t>
      </w:r>
    </w:p>
    <w:p>
      <w:pPr>
        <w:pStyle w:val="BodyText"/>
        <w:spacing w:line="264" w:lineRule="auto" w:before="123"/>
        <w:ind w:left="133" w:right="184"/>
      </w:pPr>
      <w:r>
        <w:rPr/>
        <w:t>Where a Trusted Trader importer has paid duty on goods that were later understood to be originating goods under an eligible FTA, they are able to apply for a refund of overpaid duties. An application for a refund must include documentary evidence of origin, such as the commercial documentation, manufacture statements or a CoO or DoO. The Origin Waiver benefit does not apply to refund applications for goods imported prior to 28 June 2019.</w:t>
      </w:r>
    </w:p>
    <w:p>
      <w:pPr>
        <w:pStyle w:val="BodyText"/>
        <w:spacing w:before="120"/>
        <w:ind w:left="133"/>
      </w:pPr>
      <w:r>
        <w:rPr/>
        <w:t>This waiver does not apply to exports made by Trusted Traders to parties to these FTAs.</w:t>
      </w:r>
    </w:p>
    <w:p>
      <w:pPr>
        <w:pStyle w:val="BodyText"/>
        <w:spacing w:line="264" w:lineRule="auto" w:before="142"/>
        <w:ind w:left="133" w:right="3076"/>
      </w:pPr>
      <w:r>
        <w:rPr/>
        <w:t>For more information, please refer to </w:t>
      </w:r>
      <w:hyperlink r:id="rId6">
        <w:r>
          <w:rPr>
            <w:u w:val="single"/>
          </w:rPr>
          <w:t>www.abf.gov.au/trustedtrader</w:t>
        </w:r>
        <w:r>
          <w:rPr/>
          <w:t> </w:t>
        </w:r>
      </w:hyperlink>
      <w:r>
        <w:rPr/>
        <w:t>or email </w:t>
      </w:r>
      <w:hyperlink r:id="rId7">
        <w:r>
          <w:rPr/>
          <w:t>trustedtrader@homeaffairs.gov.au.</w:t>
        </w:r>
      </w:hyperlink>
    </w:p>
    <w:p>
      <w:pPr>
        <w:pStyle w:val="BodyText"/>
        <w:rPr>
          <w:sz w:val="22"/>
        </w:rPr>
      </w:pPr>
    </w:p>
    <w:p>
      <w:pPr>
        <w:pStyle w:val="BodyText"/>
        <w:spacing w:before="10"/>
      </w:pPr>
    </w:p>
    <w:p>
      <w:pPr>
        <w:pStyle w:val="BodyText"/>
        <w:ind w:left="133"/>
      </w:pPr>
      <w:r>
        <w:rPr/>
        <w:t>[Signed]</w:t>
      </w:r>
    </w:p>
    <w:p>
      <w:pPr>
        <w:pStyle w:val="BodyText"/>
        <w:rPr>
          <w:sz w:val="22"/>
        </w:rPr>
      </w:pPr>
    </w:p>
    <w:p>
      <w:pPr>
        <w:pStyle w:val="BodyText"/>
        <w:spacing w:before="11"/>
        <w:rPr>
          <w:sz w:val="22"/>
        </w:rPr>
      </w:pPr>
    </w:p>
    <w:p>
      <w:pPr>
        <w:pStyle w:val="BodyText"/>
        <w:ind w:left="133"/>
      </w:pPr>
      <w:r>
        <w:rPr/>
        <w:t>Michael Outram APM</w:t>
      </w:r>
    </w:p>
    <w:p>
      <w:pPr>
        <w:pStyle w:val="BodyText"/>
        <w:spacing w:line="391" w:lineRule="auto" w:before="22"/>
        <w:ind w:left="133" w:right="6271"/>
      </w:pPr>
      <w:r>
        <w:rPr/>
        <w:t>Commissioner, Australian Border Force Comptroller-General of Customs</w:t>
      </w:r>
    </w:p>
    <w:p>
      <w:pPr>
        <w:pStyle w:val="BodyText"/>
        <w:spacing w:line="227" w:lineRule="exact"/>
        <w:ind w:left="133"/>
      </w:pPr>
      <w:r>
        <w:rPr/>
        <w:t>24 May 2019</w:t>
      </w:r>
    </w:p>
    <w:sectPr>
      <w:type w:val="continuous"/>
      <w:pgSz w:w="11910" w:h="16840"/>
      <w:pgMar w:top="0" w:bottom="280" w:left="100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53" w:hanging="360"/>
      </w:pPr>
      <w:rPr>
        <w:rFonts w:hint="default" w:ascii="Arial" w:hAnsi="Arial" w:eastAsia="Arial" w:cs="Arial"/>
        <w:w w:val="130"/>
        <w:sz w:val="20"/>
        <w:szCs w:val="20"/>
        <w:lang w:val="en-US" w:eastAsia="en-US" w:bidi="ar-SA"/>
      </w:rPr>
    </w:lvl>
    <w:lvl w:ilvl="1">
      <w:start w:val="0"/>
      <w:numFmt w:val="bullet"/>
      <w:lvlText w:val="•"/>
      <w:lvlJc w:val="left"/>
      <w:pPr>
        <w:ind w:left="1764" w:hanging="360"/>
      </w:pPr>
      <w:rPr>
        <w:rFonts w:hint="default"/>
        <w:lang w:val="en-US" w:eastAsia="en-US" w:bidi="ar-SA"/>
      </w:rPr>
    </w:lvl>
    <w:lvl w:ilvl="2">
      <w:start w:val="0"/>
      <w:numFmt w:val="bullet"/>
      <w:lvlText w:val="•"/>
      <w:lvlJc w:val="left"/>
      <w:pPr>
        <w:ind w:left="2669" w:hanging="360"/>
      </w:pPr>
      <w:rPr>
        <w:rFonts w:hint="default"/>
        <w:lang w:val="en-US" w:eastAsia="en-US" w:bidi="ar-SA"/>
      </w:rPr>
    </w:lvl>
    <w:lvl w:ilvl="3">
      <w:start w:val="0"/>
      <w:numFmt w:val="bullet"/>
      <w:lvlText w:val="•"/>
      <w:lvlJc w:val="left"/>
      <w:pPr>
        <w:ind w:left="3573" w:hanging="360"/>
      </w:pPr>
      <w:rPr>
        <w:rFonts w:hint="default"/>
        <w:lang w:val="en-US" w:eastAsia="en-US" w:bidi="ar-SA"/>
      </w:rPr>
    </w:lvl>
    <w:lvl w:ilvl="4">
      <w:start w:val="0"/>
      <w:numFmt w:val="bullet"/>
      <w:lvlText w:val="•"/>
      <w:lvlJc w:val="left"/>
      <w:pPr>
        <w:ind w:left="4478" w:hanging="360"/>
      </w:pPr>
      <w:rPr>
        <w:rFonts w:hint="default"/>
        <w:lang w:val="en-US" w:eastAsia="en-US" w:bidi="ar-SA"/>
      </w:rPr>
    </w:lvl>
    <w:lvl w:ilvl="5">
      <w:start w:val="0"/>
      <w:numFmt w:val="bullet"/>
      <w:lvlText w:val="•"/>
      <w:lvlJc w:val="left"/>
      <w:pPr>
        <w:ind w:left="5383" w:hanging="360"/>
      </w:pPr>
      <w:rPr>
        <w:rFonts w:hint="default"/>
        <w:lang w:val="en-US" w:eastAsia="en-US" w:bidi="ar-SA"/>
      </w:rPr>
    </w:lvl>
    <w:lvl w:ilvl="6">
      <w:start w:val="0"/>
      <w:numFmt w:val="bullet"/>
      <w:lvlText w:val="•"/>
      <w:lvlJc w:val="left"/>
      <w:pPr>
        <w:ind w:left="6287" w:hanging="360"/>
      </w:pPr>
      <w:rPr>
        <w:rFonts w:hint="default"/>
        <w:lang w:val="en-US" w:eastAsia="en-US" w:bidi="ar-SA"/>
      </w:rPr>
    </w:lvl>
    <w:lvl w:ilvl="7">
      <w:start w:val="0"/>
      <w:numFmt w:val="bullet"/>
      <w:lvlText w:val="•"/>
      <w:lvlJc w:val="left"/>
      <w:pPr>
        <w:ind w:left="7192" w:hanging="360"/>
      </w:pPr>
      <w:rPr>
        <w:rFonts w:hint="default"/>
        <w:lang w:val="en-US" w:eastAsia="en-US" w:bidi="ar-SA"/>
      </w:rPr>
    </w:lvl>
    <w:lvl w:ilvl="8">
      <w:start w:val="0"/>
      <w:numFmt w:val="bullet"/>
      <w:lvlText w:val="•"/>
      <w:lvlJc w:val="left"/>
      <w:pPr>
        <w:ind w:left="8097"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Title" w:type="paragraph">
    <w:name w:val="Title"/>
    <w:basedOn w:val="Normal"/>
    <w:uiPriority w:val="1"/>
    <w:qFormat/>
    <w:pPr>
      <w:spacing w:before="85"/>
      <w:ind w:left="3741" w:right="417" w:hanging="3313"/>
    </w:pPr>
    <w:rPr>
      <w:rFonts w:ascii="Arial" w:hAnsi="Arial" w:eastAsia="Arial" w:cs="Arial"/>
      <w:b/>
      <w:bCs/>
      <w:sz w:val="44"/>
      <w:szCs w:val="44"/>
      <w:lang w:val="en-US" w:eastAsia="en-US" w:bidi="ar-SA"/>
    </w:rPr>
  </w:style>
  <w:style w:styleId="ListParagraph" w:type="paragraph">
    <w:name w:val="List Paragraph"/>
    <w:basedOn w:val="Normal"/>
    <w:uiPriority w:val="1"/>
    <w:qFormat/>
    <w:pPr>
      <w:spacing w:before="156"/>
      <w:ind w:left="853" w:hanging="361"/>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abf.gov.au/trustedtrader" TargetMode="External"/><Relationship Id="rId7" Type="http://schemas.openxmlformats.org/officeDocument/2006/relationships/hyperlink" Target="mailto:trustedtrader@homeaffairs.gov.au"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Home Affairs</dc:creator>
  <cp:keywords>Certificate of Origin (CoO); Declaration of Origin (DoO); Origin Waiver benefit; Australian Trusted Trader</cp:keywords>
  <dc:subject>Origin Waiver benefit for Australian Trusted Traders</dc:subject>
  <dc:title>Home Affairs Notice 2019/23, Origin Waiver benefit for Australian Trusted Traders</dc:title>
  <dcterms:created xsi:type="dcterms:W3CDTF">2020-12-09T22:59:06Z</dcterms:created>
  <dcterms:modified xsi:type="dcterms:W3CDTF">2020-12-09T22:59:06Z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2019-06-04T00:00:00Z</vt:filetime>
  </property>
  <property fmtid="{D5CDD505-2E9C-101B-9397-08002B2CF9AE}" pid="3" name="Creator">
    <vt:lpwstr>Microsoft® Word 2016</vt:lpwstr>
  </property>
  <property fmtid="{D5CDD505-2E9C-101B-9397-08002B2CF9AE}" pid="4" name="LastSaved">
    <vt:filetime>2020-12-09T00:00:00Z</vt:filetime>
  </property>
</Properties>
</file>