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2019/35</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pStyle w:val="BodyText"/>
        <w:spacing w:before="8"/>
        <w:rPr>
          <w:sz w:val="10"/>
        </w:rPr>
      </w:pPr>
    </w:p>
    <w:tbl>
      <w:tblPr>
        <w:tblW w:w="0" w:type="auto"/>
        <w:jc w:val="left"/>
        <w:tblInd w:w="1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3444"/>
        <w:gridCol w:w="3610"/>
      </w:tblGrid>
      <w:tr>
        <w:trPr>
          <w:trHeight w:val="227" w:hRule="atLeast"/>
        </w:trPr>
        <w:tc>
          <w:tcPr>
            <w:tcW w:w="1958" w:type="dxa"/>
          </w:tcPr>
          <w:p>
            <w:pPr>
              <w:pStyle w:val="TableParagraph"/>
              <w:spacing w:line="208" w:lineRule="exact"/>
              <w:ind w:left="50"/>
              <w:rPr>
                <w:b/>
                <w:sz w:val="20"/>
              </w:rPr>
            </w:pPr>
            <w:r>
              <w:rPr>
                <w:b/>
                <w:sz w:val="20"/>
              </w:rPr>
              <w:t>INDIVIDUALS:</w:t>
            </w:r>
          </w:p>
        </w:tc>
        <w:tc>
          <w:tcPr>
            <w:tcW w:w="3444" w:type="dxa"/>
          </w:tcPr>
          <w:p>
            <w:pPr>
              <w:pStyle w:val="TableParagraph"/>
              <w:spacing w:line="208" w:lineRule="exact"/>
              <w:rPr>
                <w:b/>
                <w:sz w:val="20"/>
              </w:rPr>
            </w:pPr>
            <w:r>
              <w:rPr>
                <w:b/>
                <w:sz w:val="20"/>
              </w:rPr>
              <w:t>COMPANY:</w:t>
            </w:r>
          </w:p>
        </w:tc>
        <w:tc>
          <w:tcPr>
            <w:tcW w:w="3610" w:type="dxa"/>
          </w:tcPr>
          <w:p>
            <w:pPr>
              <w:pStyle w:val="TableParagraph"/>
              <w:spacing w:line="208" w:lineRule="exact"/>
              <w:ind w:left="408"/>
              <w:rPr>
                <w:b/>
                <w:sz w:val="20"/>
              </w:rPr>
            </w:pPr>
            <w:r>
              <w:rPr>
                <w:b/>
                <w:sz w:val="20"/>
              </w:rPr>
              <w:t>COMPANY:</w:t>
            </w:r>
          </w:p>
        </w:tc>
      </w:tr>
      <w:tr>
        <w:trPr>
          <w:trHeight w:val="231" w:hRule="atLeast"/>
        </w:trPr>
        <w:tc>
          <w:tcPr>
            <w:tcW w:w="1958" w:type="dxa"/>
          </w:tcPr>
          <w:p>
            <w:pPr>
              <w:pStyle w:val="TableParagraph"/>
              <w:spacing w:line="212" w:lineRule="exact"/>
              <w:ind w:left="50"/>
              <w:rPr>
                <w:sz w:val="20"/>
              </w:rPr>
            </w:pPr>
            <w:r>
              <w:rPr>
                <w:sz w:val="20"/>
              </w:rPr>
              <w:t>Danny Drewett</w:t>
            </w:r>
          </w:p>
        </w:tc>
        <w:tc>
          <w:tcPr>
            <w:tcW w:w="3444" w:type="dxa"/>
          </w:tcPr>
          <w:p>
            <w:pPr>
              <w:pStyle w:val="TableParagraph"/>
              <w:spacing w:line="212" w:lineRule="exact"/>
              <w:rPr>
                <w:sz w:val="20"/>
              </w:rPr>
            </w:pPr>
            <w:r>
              <w:rPr>
                <w:sz w:val="20"/>
              </w:rPr>
              <w:t>Cargo-Partner Logistics</w:t>
            </w:r>
          </w:p>
        </w:tc>
        <w:tc>
          <w:tcPr>
            <w:tcW w:w="3610" w:type="dxa"/>
          </w:tcPr>
          <w:p>
            <w:pPr>
              <w:pStyle w:val="TableParagraph"/>
              <w:spacing w:line="212" w:lineRule="exact"/>
              <w:ind w:left="408"/>
              <w:rPr>
                <w:sz w:val="20"/>
              </w:rPr>
            </w:pPr>
            <w:r>
              <w:rPr>
                <w:sz w:val="20"/>
              </w:rPr>
              <w:t>World Customs Consultants</w:t>
            </w:r>
          </w:p>
        </w:tc>
      </w:tr>
      <w:tr>
        <w:trPr>
          <w:trHeight w:val="229" w:hRule="atLeast"/>
        </w:trPr>
        <w:tc>
          <w:tcPr>
            <w:tcW w:w="1958" w:type="dxa"/>
          </w:tcPr>
          <w:p>
            <w:pPr>
              <w:pStyle w:val="TableParagraph"/>
              <w:spacing w:line="209" w:lineRule="exact"/>
              <w:ind w:left="50"/>
              <w:rPr>
                <w:sz w:val="20"/>
              </w:rPr>
            </w:pPr>
            <w:r>
              <w:rPr>
                <w:sz w:val="20"/>
              </w:rPr>
              <w:t>David Moschos</w:t>
            </w:r>
          </w:p>
        </w:tc>
        <w:tc>
          <w:tcPr>
            <w:tcW w:w="3444" w:type="dxa"/>
          </w:tcPr>
          <w:p>
            <w:pPr>
              <w:pStyle w:val="TableParagraph"/>
              <w:spacing w:line="209" w:lineRule="exact"/>
              <w:rPr>
                <w:sz w:val="20"/>
              </w:rPr>
            </w:pPr>
            <w:r>
              <w:rPr>
                <w:sz w:val="20"/>
              </w:rPr>
              <w:t>ABN 57 632 655 835</w:t>
            </w:r>
          </w:p>
        </w:tc>
        <w:tc>
          <w:tcPr>
            <w:tcW w:w="3610" w:type="dxa"/>
          </w:tcPr>
          <w:p>
            <w:pPr>
              <w:pStyle w:val="TableParagraph"/>
              <w:spacing w:line="209" w:lineRule="exact"/>
              <w:ind w:left="408"/>
              <w:rPr>
                <w:sz w:val="20"/>
              </w:rPr>
            </w:pPr>
            <w:r>
              <w:rPr>
                <w:sz w:val="20"/>
              </w:rPr>
              <w:t>ABN 79 608 140 825</w:t>
            </w:r>
          </w:p>
        </w:tc>
      </w:tr>
      <w:tr>
        <w:trPr>
          <w:trHeight w:val="459" w:hRule="atLeast"/>
        </w:trPr>
        <w:tc>
          <w:tcPr>
            <w:tcW w:w="1958" w:type="dxa"/>
          </w:tcPr>
          <w:p>
            <w:pPr>
              <w:pStyle w:val="TableParagraph"/>
              <w:spacing w:line="225" w:lineRule="exact"/>
              <w:ind w:left="50"/>
              <w:rPr>
                <w:sz w:val="20"/>
              </w:rPr>
            </w:pPr>
            <w:r>
              <w:rPr>
                <w:sz w:val="20"/>
              </w:rPr>
              <w:t>Luke Perer</w:t>
            </w:r>
          </w:p>
          <w:p>
            <w:pPr>
              <w:pStyle w:val="TableParagraph"/>
              <w:spacing w:line="214" w:lineRule="exact"/>
              <w:ind w:left="50"/>
              <w:rPr>
                <w:sz w:val="20"/>
              </w:rPr>
            </w:pPr>
            <w:r>
              <w:rPr>
                <w:sz w:val="20"/>
              </w:rPr>
              <w:t>Mila Turson</w:t>
            </w:r>
          </w:p>
        </w:tc>
        <w:tc>
          <w:tcPr>
            <w:tcW w:w="3444" w:type="dxa"/>
          </w:tcPr>
          <w:p>
            <w:pPr>
              <w:pStyle w:val="TableParagraph"/>
              <w:spacing w:before="7"/>
              <w:ind w:left="0"/>
              <w:rPr>
                <w:sz w:val="19"/>
              </w:rPr>
            </w:pPr>
          </w:p>
          <w:p>
            <w:pPr>
              <w:pStyle w:val="TableParagraph"/>
              <w:spacing w:line="214" w:lineRule="exact"/>
              <w:rPr>
                <w:sz w:val="20"/>
              </w:rPr>
            </w:pPr>
            <w:r>
              <w:rPr>
                <w:sz w:val="20"/>
              </w:rPr>
              <w:t>Unit 5, 99-101 Western Avenue</w:t>
            </w:r>
          </w:p>
        </w:tc>
        <w:tc>
          <w:tcPr>
            <w:tcW w:w="3610" w:type="dxa"/>
          </w:tcPr>
          <w:p>
            <w:pPr>
              <w:pStyle w:val="TableParagraph"/>
              <w:spacing w:before="7"/>
              <w:ind w:left="0"/>
              <w:rPr>
                <w:sz w:val="19"/>
              </w:rPr>
            </w:pPr>
          </w:p>
          <w:p>
            <w:pPr>
              <w:pStyle w:val="TableParagraph"/>
              <w:spacing w:line="214" w:lineRule="exact"/>
              <w:ind w:left="408"/>
              <w:rPr>
                <w:sz w:val="20"/>
              </w:rPr>
            </w:pPr>
            <w:r>
              <w:rPr>
                <w:sz w:val="20"/>
              </w:rPr>
              <w:t>Level 4, 17-19 Bridge Street</w:t>
            </w:r>
          </w:p>
        </w:tc>
      </w:tr>
      <w:tr>
        <w:trPr>
          <w:trHeight w:val="230" w:hRule="atLeast"/>
        </w:trPr>
        <w:tc>
          <w:tcPr>
            <w:tcW w:w="1958" w:type="dxa"/>
          </w:tcPr>
          <w:p>
            <w:pPr>
              <w:pStyle w:val="TableParagraph"/>
              <w:spacing w:line="210" w:lineRule="exact"/>
              <w:ind w:left="50"/>
              <w:rPr>
                <w:sz w:val="20"/>
              </w:rPr>
            </w:pPr>
            <w:r>
              <w:rPr>
                <w:sz w:val="20"/>
              </w:rPr>
              <w:t>Quenton Walsh</w:t>
            </w:r>
          </w:p>
        </w:tc>
        <w:tc>
          <w:tcPr>
            <w:tcW w:w="3444" w:type="dxa"/>
          </w:tcPr>
          <w:p>
            <w:pPr>
              <w:pStyle w:val="TableParagraph"/>
              <w:spacing w:line="210" w:lineRule="exact"/>
              <w:rPr>
                <w:sz w:val="20"/>
              </w:rPr>
            </w:pPr>
            <w:r>
              <w:rPr>
                <w:sz w:val="20"/>
              </w:rPr>
              <w:t>Tullamarine VIC 3043</w:t>
            </w:r>
          </w:p>
        </w:tc>
        <w:tc>
          <w:tcPr>
            <w:tcW w:w="3610" w:type="dxa"/>
          </w:tcPr>
          <w:p>
            <w:pPr>
              <w:pStyle w:val="TableParagraph"/>
              <w:spacing w:line="210" w:lineRule="exact"/>
              <w:ind w:left="408"/>
              <w:rPr>
                <w:sz w:val="20"/>
              </w:rPr>
            </w:pPr>
            <w:r>
              <w:rPr>
                <w:sz w:val="20"/>
              </w:rPr>
              <w:t>Sydney NSW 2000</w:t>
            </w:r>
          </w:p>
        </w:tc>
      </w:tr>
      <w:tr>
        <w:trPr>
          <w:trHeight w:val="460" w:hRule="atLeast"/>
        </w:trPr>
        <w:tc>
          <w:tcPr>
            <w:tcW w:w="1958" w:type="dxa"/>
          </w:tcPr>
          <w:p>
            <w:pPr>
              <w:pStyle w:val="TableParagraph"/>
              <w:spacing w:line="230" w:lineRule="exact"/>
              <w:ind w:left="50" w:right="232"/>
              <w:rPr>
                <w:sz w:val="20"/>
              </w:rPr>
            </w:pPr>
            <w:r>
              <w:rPr>
                <w:sz w:val="20"/>
              </w:rPr>
              <w:t>Thomas Whitfield Raymond Williams</w:t>
            </w:r>
          </w:p>
        </w:tc>
        <w:tc>
          <w:tcPr>
            <w:tcW w:w="3444" w:type="dxa"/>
          </w:tcPr>
          <w:p>
            <w:pPr>
              <w:pStyle w:val="TableParagraph"/>
              <w:spacing w:before="8"/>
              <w:ind w:left="0"/>
              <w:rPr>
                <w:sz w:val="19"/>
              </w:rPr>
            </w:pPr>
          </w:p>
          <w:p>
            <w:pPr>
              <w:pStyle w:val="TableParagraph"/>
              <w:spacing w:line="214" w:lineRule="exact"/>
              <w:rPr>
                <w:sz w:val="20"/>
              </w:rPr>
            </w:pPr>
            <w:r>
              <w:rPr>
                <w:sz w:val="20"/>
                <w:u w:val="single"/>
              </w:rPr>
              <w:t>Trading Name</w:t>
            </w:r>
          </w:p>
        </w:tc>
        <w:tc>
          <w:tcPr>
            <w:tcW w:w="3610" w:type="dxa"/>
          </w:tcPr>
          <w:p>
            <w:pPr>
              <w:pStyle w:val="TableParagraph"/>
              <w:spacing w:before="8"/>
              <w:ind w:left="0"/>
              <w:rPr>
                <w:sz w:val="19"/>
              </w:rPr>
            </w:pPr>
          </w:p>
          <w:p>
            <w:pPr>
              <w:pStyle w:val="TableParagraph"/>
              <w:spacing w:line="214" w:lineRule="exact"/>
              <w:ind w:left="408"/>
              <w:rPr>
                <w:sz w:val="20"/>
              </w:rPr>
            </w:pPr>
            <w:r>
              <w:rPr>
                <w:sz w:val="20"/>
                <w:u w:val="single"/>
              </w:rPr>
              <w:t>Trading Name</w:t>
            </w:r>
          </w:p>
        </w:tc>
      </w:tr>
      <w:tr>
        <w:trPr>
          <w:trHeight w:val="344" w:hRule="atLeast"/>
        </w:trPr>
        <w:tc>
          <w:tcPr>
            <w:tcW w:w="1958" w:type="dxa"/>
          </w:tcPr>
          <w:p>
            <w:pPr>
              <w:pStyle w:val="TableParagraph"/>
              <w:spacing w:line="227" w:lineRule="exact"/>
              <w:ind w:left="50"/>
              <w:rPr>
                <w:sz w:val="20"/>
              </w:rPr>
            </w:pPr>
            <w:r>
              <w:rPr>
                <w:sz w:val="20"/>
              </w:rPr>
              <w:t>Stephen Wilson</w:t>
            </w:r>
          </w:p>
        </w:tc>
        <w:tc>
          <w:tcPr>
            <w:tcW w:w="3444" w:type="dxa"/>
          </w:tcPr>
          <w:p>
            <w:pPr>
              <w:pStyle w:val="TableParagraph"/>
              <w:spacing w:line="227" w:lineRule="exact"/>
              <w:rPr>
                <w:sz w:val="20"/>
              </w:rPr>
            </w:pPr>
            <w:r>
              <w:rPr>
                <w:sz w:val="20"/>
              </w:rPr>
              <w:t>Cargo-Partner Logistics Pty Ltd</w:t>
            </w:r>
          </w:p>
        </w:tc>
        <w:tc>
          <w:tcPr>
            <w:tcW w:w="3610" w:type="dxa"/>
          </w:tcPr>
          <w:p>
            <w:pPr>
              <w:pStyle w:val="TableParagraph"/>
              <w:spacing w:line="227" w:lineRule="exact"/>
              <w:ind w:left="408"/>
              <w:rPr>
                <w:sz w:val="20"/>
              </w:rPr>
            </w:pPr>
            <w:r>
              <w:rPr>
                <w:sz w:val="20"/>
              </w:rPr>
              <w:t>World Customs Consultants Pty Ltd</w:t>
            </w:r>
          </w:p>
        </w:tc>
      </w:tr>
      <w:tr>
        <w:trPr>
          <w:trHeight w:val="1490" w:hRule="atLeast"/>
        </w:trPr>
        <w:tc>
          <w:tcPr>
            <w:tcW w:w="1958" w:type="dxa"/>
          </w:tcPr>
          <w:p>
            <w:pPr>
              <w:pStyle w:val="TableParagraph"/>
              <w:ind w:left="0"/>
              <w:rPr>
                <w:rFonts w:ascii="Times New Roman"/>
                <w:sz w:val="20"/>
              </w:rPr>
            </w:pPr>
          </w:p>
        </w:tc>
        <w:tc>
          <w:tcPr>
            <w:tcW w:w="3444" w:type="dxa"/>
          </w:tcPr>
          <w:p>
            <w:pPr>
              <w:pStyle w:val="TableParagraph"/>
              <w:spacing w:before="110"/>
              <w:ind w:right="1483"/>
              <w:rPr>
                <w:sz w:val="20"/>
              </w:rPr>
            </w:pPr>
            <w:r>
              <w:rPr>
                <w:sz w:val="20"/>
                <w:u w:val="single"/>
              </w:rPr>
              <w:t>Person in Authority</w:t>
            </w:r>
            <w:r>
              <w:rPr>
                <w:sz w:val="20"/>
              </w:rPr>
              <w:t> Murat Gumus</w:t>
            </w:r>
          </w:p>
          <w:p>
            <w:pPr>
              <w:pStyle w:val="TableParagraph"/>
              <w:spacing w:before="1"/>
              <w:ind w:left="0"/>
              <w:rPr>
                <w:sz w:val="20"/>
              </w:rPr>
            </w:pPr>
          </w:p>
          <w:p>
            <w:pPr>
              <w:pStyle w:val="TableParagraph"/>
              <w:spacing w:before="1"/>
              <w:ind w:right="1727"/>
              <w:rPr>
                <w:sz w:val="20"/>
              </w:rPr>
            </w:pPr>
            <w:r>
              <w:rPr>
                <w:sz w:val="20"/>
                <w:u w:val="single"/>
              </w:rPr>
              <w:t>Nominee Broker</w:t>
            </w:r>
            <w:r>
              <w:rPr>
                <w:sz w:val="20"/>
              </w:rPr>
              <w:t> John Chambers</w:t>
            </w:r>
          </w:p>
        </w:tc>
        <w:tc>
          <w:tcPr>
            <w:tcW w:w="3610" w:type="dxa"/>
          </w:tcPr>
          <w:p>
            <w:pPr>
              <w:pStyle w:val="TableParagraph"/>
              <w:spacing w:before="110"/>
              <w:ind w:left="408" w:right="1492"/>
              <w:rPr>
                <w:sz w:val="20"/>
              </w:rPr>
            </w:pPr>
            <w:r>
              <w:rPr>
                <w:sz w:val="20"/>
                <w:u w:val="single"/>
              </w:rPr>
              <w:t>Person in Authority</w:t>
            </w:r>
            <w:r>
              <w:rPr>
                <w:sz w:val="20"/>
              </w:rPr>
              <w:t> Russell Wilkinson Maree Wilkinson</w:t>
            </w:r>
          </w:p>
          <w:p>
            <w:pPr>
              <w:pStyle w:val="TableParagraph"/>
              <w:spacing w:before="7"/>
              <w:ind w:left="0"/>
              <w:rPr>
                <w:sz w:val="20"/>
              </w:rPr>
            </w:pPr>
          </w:p>
          <w:p>
            <w:pPr>
              <w:pStyle w:val="TableParagraph"/>
              <w:spacing w:line="228" w:lineRule="exact"/>
              <w:ind w:left="408" w:right="1614"/>
              <w:rPr>
                <w:sz w:val="20"/>
              </w:rPr>
            </w:pPr>
            <w:r>
              <w:rPr>
                <w:sz w:val="20"/>
                <w:u w:val="single"/>
              </w:rPr>
              <w:t>Nominee Broker</w:t>
            </w:r>
            <w:r>
              <w:rPr>
                <w:sz w:val="20"/>
              </w:rPr>
              <w:t> Russell Wilkinson</w:t>
            </w:r>
          </w:p>
        </w:tc>
      </w:tr>
    </w:tbl>
    <w:p>
      <w:pPr>
        <w:pStyle w:val="BodyText"/>
      </w:pPr>
    </w:p>
    <w:p>
      <w:pPr>
        <w:pStyle w:val="BodyText"/>
        <w:spacing w:before="1"/>
        <w:ind w:left="1132" w:right="1285"/>
      </w:pPr>
      <w:r>
        <w:rPr/>
        <w:t>Any person wishing to make written representation in respect of any of these applicants should address the correspondence, by 18 October 2019, to:</w:t>
      </w:r>
    </w:p>
    <w:p>
      <w:pPr>
        <w:pStyle w:val="BodyText"/>
        <w:spacing w:before="1"/>
      </w:pPr>
    </w:p>
    <w:p>
      <w:pPr>
        <w:pStyle w:val="BodyText"/>
        <w:spacing w:line="229" w:lineRule="exact"/>
        <w:ind w:left="1132"/>
      </w:pPr>
      <w:r>
        <w:rPr/>
        <w:t>Broker Licensing</w:t>
      </w:r>
    </w:p>
    <w:p>
      <w:pPr>
        <w:pStyle w:val="BodyText"/>
        <w:tabs>
          <w:tab w:pos="6172" w:val="left" w:leader="none"/>
        </w:tabs>
        <w:spacing w:line="229" w:lineRule="exact"/>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t>5</w:t>
      </w:r>
      <w:r>
        <w:rPr>
          <w:spacing w:val="-3"/>
        </w:rPr>
        <w:t> </w:t>
      </w:r>
      <w:r>
        <w:rPr/>
        <w:t>Constitution</w:t>
      </w:r>
      <w:r>
        <w:rPr>
          <w:spacing w:val="-3"/>
        </w:rPr>
        <w:t> </w:t>
      </w:r>
      <w:r>
        <w:rPr/>
        <w:t>Avenue</w:t>
        <w:tab/>
      </w:r>
      <w:hyperlink r:id="rId6">
        <w:r>
          <w:rPr>
            <w:w w:val="95"/>
            <w:u w:val="single"/>
          </w:rPr>
          <w:t>brokers.licensing@abf.gov.au</w:t>
        </w:r>
      </w:hyperlink>
      <w:r>
        <w:rPr>
          <w:w w:val="95"/>
        </w:rPr>
        <w:t> </w:t>
      </w:r>
      <w:r>
        <w:rPr/>
        <w:t>CANBERRA ACT</w:t>
      </w:r>
      <w:r>
        <w:rPr>
          <w:spacing w:val="2"/>
        </w:rPr>
        <w:t> </w:t>
      </w:r>
      <w:r>
        <w:rPr/>
        <w:t>2601</w:t>
      </w:r>
    </w:p>
    <w:p>
      <w:pPr>
        <w:pStyle w:val="BodyText"/>
        <w:spacing w:before="1"/>
      </w:pPr>
    </w:p>
    <w:p>
      <w:pPr>
        <w:pStyle w:val="BodyText"/>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32"/>
      </w:pPr>
      <w:r>
        <w:rPr/>
        <w:t>[SIGNED]</w:t>
      </w:r>
    </w:p>
    <w:p>
      <w:pPr>
        <w:pStyle w:val="BodyText"/>
        <w:spacing w:before="10"/>
        <w:rPr>
          <w:sz w:val="19"/>
        </w:rPr>
      </w:pPr>
    </w:p>
    <w:p>
      <w:pPr>
        <w:pStyle w:val="BodyText"/>
        <w:ind w:left="1132"/>
      </w:pPr>
      <w:r>
        <w:rPr/>
        <w:t>Auneesh Kishore</w:t>
      </w:r>
    </w:p>
    <w:p>
      <w:pPr>
        <w:pStyle w:val="BodyText"/>
        <w:spacing w:before="1"/>
        <w:ind w:left="1132"/>
      </w:pPr>
      <w:r>
        <w:rPr/>
        <w:t>A/g Director, Customs Licensing</w:t>
      </w:r>
    </w:p>
    <w:p>
      <w:pPr>
        <w:pStyle w:val="BodyText"/>
        <w:ind w:left="1132" w:right="5392"/>
      </w:pPr>
      <w:r>
        <w:rPr/>
        <w:t>Trusted Trader and Trade Services Branch | Customs Group Australian Border Force</w:t>
      </w:r>
    </w:p>
    <w:p>
      <w:pPr>
        <w:pStyle w:val="BodyText"/>
        <w:spacing w:before="1"/>
        <w:ind w:left="1132"/>
      </w:pPr>
      <w:r>
        <w:rPr/>
        <w:t>CANBERRA ACT</w:t>
      </w:r>
    </w:p>
    <w:p>
      <w:pPr>
        <w:pStyle w:val="BodyText"/>
        <w:rPr>
          <w:sz w:val="22"/>
        </w:rPr>
      </w:pPr>
    </w:p>
    <w:p>
      <w:pPr>
        <w:pStyle w:val="BodyText"/>
        <w:spacing w:before="10"/>
        <w:rPr>
          <w:sz w:val="17"/>
        </w:rPr>
      </w:pPr>
    </w:p>
    <w:p>
      <w:pPr>
        <w:pStyle w:val="BodyText"/>
        <w:ind w:left="1132"/>
      </w:pPr>
      <w:r>
        <w:rPr/>
        <w:t>2 October 2019</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25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Notices</cp:keywords>
  <dc:title>Australian Customs Notice No. 2019/35</dc:title>
  <dcterms:created xsi:type="dcterms:W3CDTF">2020-12-09T23:03:04Z</dcterms:created>
  <dcterms:modified xsi:type="dcterms:W3CDTF">2020-12-09T23:03:04Z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2019-10-02T00:00:00Z</vt:filetime>
  </property>
  <property fmtid="{D5CDD505-2E9C-101B-9397-08002B2CF9AE}" pid="3" name="Creator">
    <vt:lpwstr>Power PDF Create</vt:lpwstr>
  </property>
  <property fmtid="{D5CDD505-2E9C-101B-9397-08002B2CF9AE}" pid="4" name="LastSaved">
    <vt:filetime>2020-12-09T00:00:00Z</vt:filetime>
  </property>
</Properties>
</file>